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CE2DED" w:rsidRDefault="00CE2DED">
      <w:pPr>
        <w:spacing w:line="520" w:lineRule="exact"/>
        <w:jc w:val="center"/>
        <w:rPr>
          <w:rFonts w:eastAsia="方正仿宋_GBK"/>
          <w:szCs w:val="32"/>
        </w:rPr>
      </w:pPr>
    </w:p>
    <w:p w14:paraId="63411605" w14:textId="77777777" w:rsidR="00CE2DED" w:rsidRDefault="00CE2DED">
      <w:pPr>
        <w:spacing w:line="520" w:lineRule="exact"/>
        <w:jc w:val="center"/>
        <w:rPr>
          <w:rFonts w:eastAsia="新宋体"/>
          <w:b/>
          <w:sz w:val="36"/>
          <w:szCs w:val="36"/>
        </w:rPr>
      </w:pPr>
    </w:p>
    <w:p w14:paraId="52F69807" w14:textId="77777777" w:rsidR="00CE2DED" w:rsidRDefault="00CE2DED">
      <w:pPr>
        <w:spacing w:line="520" w:lineRule="exact"/>
        <w:jc w:val="center"/>
        <w:rPr>
          <w:rFonts w:eastAsia="新宋体"/>
          <w:b/>
          <w:sz w:val="36"/>
          <w:szCs w:val="36"/>
        </w:rPr>
      </w:pPr>
    </w:p>
    <w:p w14:paraId="5933390E" w14:textId="77777777" w:rsidR="00CE2DED" w:rsidRDefault="00CE2DED">
      <w:pPr>
        <w:spacing w:line="520" w:lineRule="exact"/>
        <w:jc w:val="center"/>
        <w:rPr>
          <w:rFonts w:eastAsia="新宋体"/>
          <w:b/>
          <w:sz w:val="36"/>
          <w:szCs w:val="36"/>
        </w:rPr>
      </w:pPr>
    </w:p>
    <w:p w14:paraId="1D20B93C" w14:textId="77777777" w:rsidR="00CE2DED" w:rsidRDefault="00CE2DED">
      <w:pPr>
        <w:spacing w:line="520" w:lineRule="exact"/>
        <w:jc w:val="center"/>
        <w:rPr>
          <w:rFonts w:eastAsia="新宋体"/>
          <w:b/>
          <w:sz w:val="36"/>
          <w:szCs w:val="36"/>
        </w:rPr>
      </w:pPr>
    </w:p>
    <w:p w14:paraId="0B6F02E6" w14:textId="77777777" w:rsidR="00CE2DED" w:rsidRDefault="00CE2DED">
      <w:pPr>
        <w:spacing w:line="520" w:lineRule="exact"/>
        <w:jc w:val="center"/>
        <w:rPr>
          <w:rFonts w:eastAsia="新宋体"/>
          <w:b/>
          <w:sz w:val="36"/>
          <w:szCs w:val="36"/>
        </w:rPr>
      </w:pPr>
    </w:p>
    <w:p w14:paraId="3CCEEBB3" w14:textId="77777777" w:rsidR="00CE2DED" w:rsidRDefault="00CE2DED">
      <w:pPr>
        <w:spacing w:line="520" w:lineRule="exact"/>
        <w:jc w:val="center"/>
        <w:rPr>
          <w:rFonts w:eastAsia="新宋体"/>
          <w:b/>
          <w:color w:val="0000FF"/>
          <w:sz w:val="36"/>
          <w:szCs w:val="36"/>
        </w:rPr>
      </w:pPr>
    </w:p>
    <w:p w14:paraId="69350A11" w14:textId="77777777" w:rsidR="00CE2DED"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Pr>
          <w:rFonts w:eastAsia="仿宋" w:hint="eastAsia"/>
          <w:color w:val="000000" w:themeColor="text1"/>
          <w:szCs w:val="32"/>
        </w:rPr>
        <w:t>53</w:t>
      </w:r>
      <w:r>
        <w:rPr>
          <w:rFonts w:eastAsia="仿宋"/>
          <w:color w:val="000000" w:themeColor="text1"/>
          <w:szCs w:val="32"/>
        </w:rPr>
        <w:t>号</w:t>
      </w:r>
    </w:p>
    <w:p w14:paraId="32D0186D" w14:textId="77777777" w:rsidR="00CE2DED" w:rsidRDefault="00CE2DED">
      <w:pPr>
        <w:spacing w:line="520" w:lineRule="exact"/>
        <w:jc w:val="center"/>
        <w:rPr>
          <w:rFonts w:eastAsia="方正仿宋_GBK"/>
          <w:szCs w:val="32"/>
        </w:rPr>
      </w:pPr>
    </w:p>
    <w:p w14:paraId="7445D6CD" w14:textId="77777777" w:rsidR="00CE2DED" w:rsidRDefault="00CE2DED">
      <w:pPr>
        <w:spacing w:line="520" w:lineRule="exact"/>
        <w:jc w:val="center"/>
        <w:rPr>
          <w:rFonts w:eastAsia="方正仿宋_GBK"/>
          <w:szCs w:val="32"/>
        </w:rPr>
      </w:pPr>
    </w:p>
    <w:p w14:paraId="4A0A91DA" w14:textId="77777777" w:rsidR="00CE2DED" w:rsidRDefault="00000000">
      <w:pPr>
        <w:spacing w:line="560" w:lineRule="exact"/>
        <w:jc w:val="center"/>
        <w:rPr>
          <w:rFonts w:ascii="方正小标宋_GBK" w:eastAsia="方正小标宋_GBK"/>
          <w:sz w:val="44"/>
          <w:szCs w:val="44"/>
        </w:rPr>
      </w:pPr>
      <w:r>
        <w:rPr>
          <w:rFonts w:ascii="方正小标宋_GBK" w:eastAsia="方正小标宋_GBK"/>
          <w:sz w:val="44"/>
          <w:szCs w:val="44"/>
        </w:rPr>
        <w:t>关于对</w:t>
      </w:r>
      <w:r>
        <w:rPr>
          <w:rFonts w:ascii="方正小标宋_GBK" w:eastAsia="方正小标宋_GBK" w:hint="eastAsia"/>
          <w:sz w:val="44"/>
          <w:szCs w:val="44"/>
        </w:rPr>
        <w:t>中国石油化工股份有限公司华东</w:t>
      </w:r>
    </w:p>
    <w:p w14:paraId="58F0C8FC" w14:textId="77777777" w:rsidR="00CE2DED" w:rsidRDefault="00000000">
      <w:pPr>
        <w:spacing w:line="560" w:lineRule="exact"/>
        <w:jc w:val="center"/>
        <w:rPr>
          <w:rFonts w:ascii="方正小标宋_GBK" w:eastAsia="方正小标宋_GBK"/>
          <w:sz w:val="44"/>
          <w:szCs w:val="44"/>
        </w:rPr>
      </w:pPr>
      <w:r>
        <w:rPr>
          <w:rFonts w:ascii="方正小标宋_GBK" w:eastAsia="方正小标宋_GBK" w:hint="eastAsia"/>
          <w:sz w:val="44"/>
          <w:szCs w:val="44"/>
        </w:rPr>
        <w:t>油气分公司泰州采油厂</w:t>
      </w:r>
      <w:proofErr w:type="gramStart"/>
      <w:r>
        <w:rPr>
          <w:rFonts w:ascii="方正小标宋_GBK" w:eastAsia="方正小标宋_GBK" w:hint="eastAsia"/>
          <w:sz w:val="44"/>
          <w:szCs w:val="44"/>
        </w:rPr>
        <w:t>溱</w:t>
      </w:r>
      <w:proofErr w:type="gramEnd"/>
      <w:r>
        <w:rPr>
          <w:rFonts w:ascii="方正小标宋_GBK" w:eastAsia="方正小标宋_GBK" w:hint="eastAsia"/>
          <w:sz w:val="44"/>
          <w:szCs w:val="44"/>
        </w:rPr>
        <w:t>页6井平台探井</w:t>
      </w:r>
    </w:p>
    <w:p w14:paraId="5D7CB3C6" w14:textId="77777777" w:rsidR="00CE2DED" w:rsidRDefault="00000000">
      <w:pPr>
        <w:spacing w:line="560" w:lineRule="exact"/>
        <w:jc w:val="center"/>
        <w:rPr>
          <w:rFonts w:ascii="方正小标宋_GBK" w:eastAsia="方正小标宋_GBK"/>
          <w:sz w:val="44"/>
          <w:szCs w:val="44"/>
        </w:rPr>
      </w:pPr>
      <w:r>
        <w:rPr>
          <w:rFonts w:ascii="方正小标宋_GBK" w:eastAsia="方正小标宋_GBK" w:hint="eastAsia"/>
          <w:sz w:val="44"/>
          <w:szCs w:val="44"/>
        </w:rPr>
        <w:t>工程</w:t>
      </w:r>
      <w:r>
        <w:rPr>
          <w:rFonts w:ascii="方正小标宋_GBK" w:eastAsia="方正小标宋_GBK"/>
          <w:sz w:val="44"/>
          <w:szCs w:val="44"/>
        </w:rPr>
        <w:t>环境影响报告</w:t>
      </w:r>
      <w:r>
        <w:rPr>
          <w:rFonts w:ascii="方正小标宋_GBK" w:eastAsia="方正小标宋_GBK" w:hint="eastAsia"/>
          <w:sz w:val="44"/>
          <w:szCs w:val="44"/>
        </w:rPr>
        <w:t>表</w:t>
      </w:r>
      <w:r>
        <w:rPr>
          <w:rFonts w:ascii="方正小标宋_GBK" w:eastAsia="方正小标宋_GBK"/>
          <w:sz w:val="44"/>
          <w:szCs w:val="44"/>
        </w:rPr>
        <w:t>的</w:t>
      </w:r>
      <w:r>
        <w:rPr>
          <w:rFonts w:ascii="方正小标宋_GBK" w:eastAsia="方正小标宋_GBK" w:hint="eastAsia"/>
          <w:sz w:val="44"/>
          <w:szCs w:val="44"/>
        </w:rPr>
        <w:t>批复</w:t>
      </w:r>
    </w:p>
    <w:p w14:paraId="14098D5F" w14:textId="77777777" w:rsidR="00CE2DED" w:rsidRDefault="00CE2DED">
      <w:pPr>
        <w:snapToGrid w:val="0"/>
        <w:spacing w:line="480" w:lineRule="exact"/>
        <w:ind w:firstLineChars="200" w:firstLine="640"/>
        <w:rPr>
          <w:rFonts w:eastAsia="仿宋"/>
          <w:szCs w:val="32"/>
        </w:rPr>
      </w:pPr>
    </w:p>
    <w:p w14:paraId="6B49580F" w14:textId="77777777" w:rsidR="00CE2DED" w:rsidRDefault="00000000">
      <w:pPr>
        <w:snapToGrid w:val="0"/>
        <w:spacing w:line="580" w:lineRule="exact"/>
        <w:rPr>
          <w:rFonts w:eastAsia="仿宋"/>
          <w:szCs w:val="32"/>
        </w:rPr>
      </w:pPr>
      <w:r>
        <w:rPr>
          <w:rFonts w:eastAsia="仿宋" w:hint="eastAsia"/>
          <w:szCs w:val="32"/>
        </w:rPr>
        <w:t>中国石油化工股份有限公司华东油气分公司泰州采油厂</w:t>
      </w:r>
      <w:r>
        <w:rPr>
          <w:rFonts w:eastAsia="仿宋"/>
          <w:szCs w:val="32"/>
        </w:rPr>
        <w:t>：</w:t>
      </w:r>
    </w:p>
    <w:p w14:paraId="77C433C1" w14:textId="77777777" w:rsidR="00CE2DED" w:rsidRDefault="00000000">
      <w:pPr>
        <w:snapToGrid w:val="0"/>
        <w:spacing w:line="580" w:lineRule="exact"/>
        <w:ind w:firstLineChars="200" w:firstLine="640"/>
        <w:rPr>
          <w:rFonts w:eastAsia="仿宋"/>
          <w:szCs w:val="32"/>
        </w:rPr>
      </w:pPr>
      <w:r>
        <w:rPr>
          <w:rFonts w:eastAsia="仿宋"/>
          <w:szCs w:val="32"/>
        </w:rPr>
        <w:t>你公司报送的《</w:t>
      </w:r>
      <w:r>
        <w:rPr>
          <w:rFonts w:eastAsia="仿宋" w:hint="eastAsia"/>
          <w:szCs w:val="32"/>
        </w:rPr>
        <w:t>溱页</w:t>
      </w:r>
      <w:r>
        <w:rPr>
          <w:rFonts w:eastAsia="仿宋" w:hint="eastAsia"/>
          <w:szCs w:val="32"/>
        </w:rPr>
        <w:t>6</w:t>
      </w:r>
      <w:r>
        <w:rPr>
          <w:rFonts w:eastAsia="仿宋" w:hint="eastAsia"/>
          <w:szCs w:val="32"/>
        </w:rPr>
        <w:t>井平台探井工程环境影响报告表</w:t>
      </w:r>
      <w:r>
        <w:rPr>
          <w:rFonts w:eastAsia="仿宋"/>
          <w:szCs w:val="32"/>
        </w:rPr>
        <w:t>》（以下简称《报告</w:t>
      </w:r>
      <w:r>
        <w:rPr>
          <w:rFonts w:eastAsia="仿宋" w:hint="eastAsia"/>
          <w:szCs w:val="32"/>
        </w:rPr>
        <w:t>表</w:t>
      </w:r>
      <w:r>
        <w:rPr>
          <w:rFonts w:eastAsia="仿宋"/>
          <w:szCs w:val="32"/>
        </w:rPr>
        <w:t>》）收悉，经研究，审批意见如下：</w:t>
      </w:r>
    </w:p>
    <w:p w14:paraId="60F8F74F" w14:textId="77777777" w:rsidR="00CE2DED" w:rsidRDefault="00000000">
      <w:pPr>
        <w:snapToGrid w:val="0"/>
        <w:spacing w:line="580" w:lineRule="exact"/>
        <w:ind w:firstLineChars="200" w:firstLine="640"/>
        <w:rPr>
          <w:rFonts w:eastAsia="仿宋"/>
          <w:szCs w:val="32"/>
        </w:rPr>
      </w:pPr>
      <w:r>
        <w:rPr>
          <w:rFonts w:eastAsia="仿宋"/>
          <w:szCs w:val="32"/>
        </w:rPr>
        <w:t>一、</w:t>
      </w:r>
      <w:r>
        <w:rPr>
          <w:rFonts w:eastAsia="仿宋" w:hint="eastAsia"/>
          <w:szCs w:val="32"/>
        </w:rPr>
        <w:t>你公司对《报告表》的内容和结论负责，</w:t>
      </w:r>
      <w:r>
        <w:rPr>
          <w:rFonts w:eastAsia="仿宋"/>
          <w:szCs w:val="32"/>
        </w:rPr>
        <w:t>环评编制单位应对其编制的《报告表》承担相应责任。</w:t>
      </w:r>
    </w:p>
    <w:p w14:paraId="6796238C" w14:textId="77777777" w:rsidR="00CE2DED" w:rsidRDefault="00000000">
      <w:pPr>
        <w:snapToGrid w:val="0"/>
        <w:spacing w:line="580" w:lineRule="exact"/>
        <w:ind w:firstLineChars="200" w:firstLine="640"/>
        <w:rPr>
          <w:rFonts w:ascii="仿宋" w:eastAsia="仿宋" w:hAnsi="仿宋" w:hint="eastAsia"/>
          <w:szCs w:val="32"/>
        </w:rPr>
      </w:pPr>
      <w:r>
        <w:rPr>
          <w:rFonts w:eastAsia="仿宋"/>
          <w:szCs w:val="32"/>
        </w:rPr>
        <w:t>二、</w:t>
      </w:r>
      <w:r>
        <w:rPr>
          <w:rFonts w:eastAsia="仿宋" w:hint="eastAsia"/>
          <w:szCs w:val="32"/>
        </w:rPr>
        <w:t>根据《报告表》评价结论，在符合《泰州市“十四五”生态环境保护规划》及相关规划，落实污染防治措施和生态保护措施的前提下，仅从环境保护角度考虑，同意该项目在泰州市海陵区华港镇溪西村</w:t>
      </w:r>
      <w:r>
        <w:rPr>
          <w:rFonts w:hint="eastAsia"/>
        </w:rPr>
        <w:t>拟定地点</w:t>
      </w:r>
      <w:r>
        <w:t>建设。</w:t>
      </w:r>
      <w:r>
        <w:rPr>
          <w:rFonts w:hint="eastAsia"/>
        </w:rPr>
        <w:t>本</w:t>
      </w:r>
      <w:r>
        <w:rPr>
          <w:rFonts w:eastAsia="仿宋" w:hint="eastAsia"/>
          <w:szCs w:val="32"/>
        </w:rPr>
        <w:t>项目建设</w:t>
      </w:r>
      <w:r>
        <w:rPr>
          <w:rFonts w:eastAsia="仿宋" w:hint="eastAsia"/>
          <w:szCs w:val="32"/>
        </w:rPr>
        <w:t>3</w:t>
      </w:r>
      <w:r>
        <w:rPr>
          <w:rFonts w:eastAsia="仿宋" w:hint="eastAsia"/>
          <w:szCs w:val="32"/>
        </w:rPr>
        <w:t>口探井，设计平</w:t>
      </w:r>
      <w:r>
        <w:rPr>
          <w:rFonts w:eastAsia="仿宋" w:hint="eastAsia"/>
          <w:szCs w:val="32"/>
        </w:rPr>
        <w:lastRenderedPageBreak/>
        <w:t>均单</w:t>
      </w:r>
      <w:proofErr w:type="gramStart"/>
      <w:r>
        <w:rPr>
          <w:rFonts w:eastAsia="仿宋" w:hint="eastAsia"/>
          <w:szCs w:val="32"/>
        </w:rPr>
        <w:t>井</w:t>
      </w:r>
      <w:proofErr w:type="gramEnd"/>
      <w:r>
        <w:rPr>
          <w:rFonts w:eastAsia="仿宋" w:hint="eastAsia"/>
          <w:szCs w:val="32"/>
        </w:rPr>
        <w:t>井深</w:t>
      </w:r>
      <w:r>
        <w:rPr>
          <w:rFonts w:eastAsia="仿宋" w:hint="eastAsia"/>
          <w:szCs w:val="32"/>
        </w:rPr>
        <w:t>4200</w:t>
      </w:r>
      <w:r>
        <w:rPr>
          <w:rFonts w:eastAsia="仿宋" w:hint="eastAsia"/>
          <w:szCs w:val="32"/>
        </w:rPr>
        <w:t>米，主要</w:t>
      </w:r>
      <w:r>
        <w:rPr>
          <w:rFonts w:eastAsia="仿宋"/>
          <w:szCs w:val="32"/>
        </w:rPr>
        <w:t>用以考察产油气量等指</w:t>
      </w:r>
      <w:r>
        <w:t>标（转为生产井属于后期开发内容，不属于本次评价范围）</w:t>
      </w:r>
      <w:r>
        <w:rPr>
          <w:rFonts w:hint="eastAsia"/>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r>
        <w:rPr>
          <w:rFonts w:ascii="仿宋" w:eastAsia="仿宋" w:hAnsi="仿宋" w:hint="eastAsia"/>
          <w:szCs w:val="32"/>
        </w:rPr>
        <w:t>。</w:t>
      </w:r>
    </w:p>
    <w:p w14:paraId="06362E64" w14:textId="77777777" w:rsidR="00CE2DED" w:rsidRDefault="00000000">
      <w:pPr>
        <w:snapToGrid w:val="0"/>
        <w:spacing w:line="580" w:lineRule="exact"/>
        <w:ind w:firstLineChars="200" w:firstLine="640"/>
        <w:rPr>
          <w:rFonts w:eastAsia="仿宋"/>
          <w:szCs w:val="32"/>
        </w:rPr>
      </w:pPr>
      <w:r>
        <w:rPr>
          <w:rFonts w:eastAsia="仿宋"/>
          <w:szCs w:val="32"/>
        </w:rPr>
        <w:t>三、</w:t>
      </w:r>
      <w:r>
        <w:rPr>
          <w:rFonts w:eastAsia="仿宋" w:hint="eastAsia"/>
          <w:szCs w:val="32"/>
        </w:rPr>
        <w:t>在项目施工期和运营期管理中，你公司应认真落实《报告表》中提出的各项环保要求，严格执行环保“三同时”制度，确保各类污染物达标排放，并须着重做好以下工作</w:t>
      </w:r>
      <w:r>
        <w:rPr>
          <w:rFonts w:eastAsia="仿宋"/>
          <w:szCs w:val="32"/>
        </w:rPr>
        <w:t>：</w:t>
      </w:r>
    </w:p>
    <w:p w14:paraId="5F8A9064" w14:textId="77777777" w:rsidR="00CE2DED" w:rsidRDefault="00000000">
      <w:pPr>
        <w:snapToGrid w:val="0"/>
        <w:spacing w:line="580" w:lineRule="exact"/>
        <w:ind w:firstLineChars="200" w:firstLine="640"/>
      </w:pPr>
      <w:r>
        <w:t>1</w:t>
      </w:r>
      <w:r>
        <w:t>、严格划定施工作业带范围，合理设计施工工序，加强施工过程管理，尽量缩短施工周期，对施工临时堆放的土方</w:t>
      </w:r>
      <w:proofErr w:type="gramStart"/>
      <w:r>
        <w:t>盖保护</w:t>
      </w:r>
      <w:proofErr w:type="gramEnd"/>
      <w:r>
        <w:t>网、四周设置围墙、喷淋保湿等措施防止扬尘污染；项目建设过程中，产生的废弃土石方等尽量就地平衡，不得随意取土和破坏地表植被；严格控制施工车辆以减少对地表的碾压破坏；不随意砍伐、破坏树木和植被，不烧灌木，不乱挖、乱采野生植被，不随便破坏动物巢穴；禁止污水、污油、泥浆、药品等随意乱丢乱放。</w:t>
      </w:r>
    </w:p>
    <w:p w14:paraId="6DBBC822" w14:textId="74309E69" w:rsidR="00CE2DED" w:rsidRDefault="00000000">
      <w:pPr>
        <w:snapToGrid w:val="0"/>
        <w:spacing w:line="580" w:lineRule="exact"/>
        <w:ind w:firstLineChars="200" w:firstLine="640"/>
      </w:pPr>
      <w:r>
        <w:t>2</w:t>
      </w:r>
      <w:r>
        <w:t>、项目</w:t>
      </w:r>
      <w:r>
        <w:rPr>
          <w:rFonts w:hint="eastAsia"/>
        </w:rPr>
        <w:t>在建设前应</w:t>
      </w:r>
      <w:r>
        <w:t>按规定办理临时用地手续。</w:t>
      </w:r>
      <w:r>
        <w:rPr>
          <w:rFonts w:hint="eastAsia"/>
        </w:rPr>
        <w:t>根据《泰州市自然资源和规划局局务会会议纪要·第</w:t>
      </w:r>
      <w:r>
        <w:rPr>
          <w:rFonts w:hint="eastAsia"/>
        </w:rPr>
        <w:t>9</w:t>
      </w:r>
      <w:r>
        <w:rPr>
          <w:rFonts w:hint="eastAsia"/>
        </w:rPr>
        <w:t>号（</w:t>
      </w:r>
      <w:r>
        <w:rPr>
          <w:rFonts w:hint="eastAsia"/>
        </w:rPr>
        <w:t>2024</w:t>
      </w:r>
      <w:r>
        <w:rPr>
          <w:rFonts w:hint="eastAsia"/>
        </w:rPr>
        <w:t>年</w:t>
      </w:r>
      <w:r>
        <w:rPr>
          <w:rFonts w:hint="eastAsia"/>
        </w:rPr>
        <w:t>6</w:t>
      </w:r>
      <w:r>
        <w:rPr>
          <w:rFonts w:hint="eastAsia"/>
        </w:rPr>
        <w:t>月</w:t>
      </w:r>
      <w:r>
        <w:rPr>
          <w:rFonts w:hint="eastAsia"/>
        </w:rPr>
        <w:t>17</w:t>
      </w:r>
      <w:r>
        <w:rPr>
          <w:rFonts w:hint="eastAsia"/>
        </w:rPr>
        <w:t>日）》要求，</w:t>
      </w:r>
      <w:r>
        <w:t>项目运</w:t>
      </w:r>
      <w:r w:rsidR="00185377">
        <w:rPr>
          <w:rFonts w:eastAsia="仿宋" w:hint="eastAsia"/>
          <w:szCs w:val="32"/>
        </w:rPr>
        <w:t>营</w:t>
      </w:r>
      <w:r>
        <w:t>过程中应</w:t>
      </w:r>
      <w:r>
        <w:rPr>
          <w:rFonts w:hint="eastAsia"/>
        </w:rPr>
        <w:t>落实临时用地管理相关要求，做好耕作层剥离相关工作；</w:t>
      </w:r>
      <w:r>
        <w:t>项目</w:t>
      </w:r>
      <w:r>
        <w:rPr>
          <w:rFonts w:hint="eastAsia"/>
        </w:rPr>
        <w:t>实施完成</w:t>
      </w:r>
      <w:r>
        <w:t>后，</w:t>
      </w:r>
      <w:r>
        <w:rPr>
          <w:rFonts w:hint="eastAsia"/>
        </w:rPr>
        <w:t>立即开展复垦工作，确保永久基本农田和耕地性质不改变</w:t>
      </w:r>
      <w:r>
        <w:t>，</w:t>
      </w:r>
      <w:r>
        <w:rPr>
          <w:rFonts w:hint="eastAsia"/>
        </w:rPr>
        <w:t>做好</w:t>
      </w:r>
      <w:r>
        <w:t>生态环境恢复</w:t>
      </w:r>
      <w:r>
        <w:rPr>
          <w:rFonts w:hint="eastAsia"/>
        </w:rPr>
        <w:t>工作</w:t>
      </w:r>
      <w:r>
        <w:t>。</w:t>
      </w:r>
    </w:p>
    <w:p w14:paraId="0FD63CAD" w14:textId="77777777" w:rsidR="00CE2DED" w:rsidRDefault="00000000">
      <w:pPr>
        <w:snapToGrid w:val="0"/>
        <w:spacing w:line="580" w:lineRule="exact"/>
        <w:ind w:firstLineChars="200" w:firstLine="640"/>
      </w:pPr>
      <w:r>
        <w:t>3</w:t>
      </w:r>
      <w:r>
        <w:t>、项目建设期生活污水经收集</w:t>
      </w:r>
      <w:r>
        <w:rPr>
          <w:rFonts w:hint="eastAsia"/>
        </w:rPr>
        <w:t>预</w:t>
      </w:r>
      <w:r>
        <w:t>处理后灌溉肥田；钻井废液及压裂废液用罐车运送至陶思庄污水处理站处理达《碎屑岩油藏注水水质指标及分析方法》（</w:t>
      </w:r>
      <w:r>
        <w:t>SY/T5329-2012</w:t>
      </w:r>
      <w:r>
        <w:t>）中的相关标准</w:t>
      </w:r>
      <w:r>
        <w:lastRenderedPageBreak/>
        <w:t>后回注，不外排。</w:t>
      </w:r>
    </w:p>
    <w:p w14:paraId="0CF0EAFD" w14:textId="77777777" w:rsidR="00CE2DED" w:rsidRDefault="00000000">
      <w:pPr>
        <w:snapToGrid w:val="0"/>
        <w:spacing w:line="580" w:lineRule="exact"/>
        <w:ind w:firstLineChars="200" w:firstLine="640"/>
      </w:pPr>
      <w:r>
        <w:t>4</w:t>
      </w:r>
      <w:r>
        <w:t>、落实《报告表》提出的各项废气治理措施，减少废气排放。</w:t>
      </w:r>
      <w:r>
        <w:rPr>
          <w:rFonts w:hint="eastAsia"/>
        </w:rPr>
        <w:t>本项目施工期废气排放执行</w:t>
      </w:r>
      <w:r>
        <w:t>《大气污染物综合排放标准》（</w:t>
      </w:r>
      <w:r>
        <w:t>DB32/4041-2021</w:t>
      </w:r>
      <w:r>
        <w:t>）</w:t>
      </w:r>
      <w:r>
        <w:rPr>
          <w:rFonts w:hint="eastAsia"/>
        </w:rPr>
        <w:t>和《施工场地扬尘排放标准》（</w:t>
      </w:r>
      <w:r>
        <w:rPr>
          <w:rFonts w:hint="eastAsia"/>
        </w:rPr>
        <w:t>DB32/4437-2022</w:t>
      </w:r>
      <w:r>
        <w:rPr>
          <w:rFonts w:hint="eastAsia"/>
        </w:rPr>
        <w:t>）相应排放浓度限值要求，试油期非甲烷总烃排放参照《陆上石油天然气开采工业大气污染物排放标准》（</w:t>
      </w:r>
      <w:r>
        <w:rPr>
          <w:rFonts w:hint="eastAsia"/>
        </w:rPr>
        <w:t>GB39728-2020</w:t>
      </w:r>
      <w:r>
        <w:rPr>
          <w:rFonts w:hint="eastAsia"/>
        </w:rPr>
        <w:t>）管</w:t>
      </w:r>
      <w:proofErr w:type="gramStart"/>
      <w:r>
        <w:rPr>
          <w:rFonts w:hint="eastAsia"/>
        </w:rPr>
        <w:t>控要求</w:t>
      </w:r>
      <w:proofErr w:type="gramEnd"/>
      <w:r>
        <w:rPr>
          <w:rFonts w:hint="eastAsia"/>
        </w:rPr>
        <w:t>执行</w:t>
      </w:r>
      <w:r>
        <w:t>。</w:t>
      </w:r>
    </w:p>
    <w:p w14:paraId="42F002C2" w14:textId="77777777" w:rsidR="00CE2DED" w:rsidRDefault="00000000">
      <w:pPr>
        <w:snapToGrid w:val="0"/>
        <w:spacing w:line="580" w:lineRule="exact"/>
        <w:ind w:firstLineChars="200" w:firstLine="640"/>
      </w:pPr>
      <w:r>
        <w:rPr>
          <w:rFonts w:eastAsia="仿宋" w:hint="eastAsia"/>
          <w:szCs w:val="32"/>
        </w:rPr>
        <w:t>5</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有效的隔声降噪措施。厂界噪声执行《</w:t>
      </w:r>
      <w:r>
        <w:rPr>
          <w:rFonts w:eastAsia="仿宋" w:hint="eastAsia"/>
          <w:szCs w:val="32"/>
        </w:rPr>
        <w:t>建筑施工场界环境噪声</w:t>
      </w:r>
      <w:r>
        <w:rPr>
          <w:rFonts w:eastAsia="仿宋"/>
          <w:szCs w:val="32"/>
        </w:rPr>
        <w:t>排放标准》（</w:t>
      </w:r>
      <w:r>
        <w:rPr>
          <w:rFonts w:eastAsia="仿宋"/>
          <w:szCs w:val="32"/>
        </w:rPr>
        <w:t>GB12</w:t>
      </w:r>
      <w:r>
        <w:rPr>
          <w:rFonts w:eastAsia="仿宋" w:hint="eastAsia"/>
          <w:szCs w:val="32"/>
        </w:rPr>
        <w:t>523</w:t>
      </w:r>
      <w:r>
        <w:rPr>
          <w:rFonts w:eastAsia="仿宋"/>
          <w:szCs w:val="32"/>
        </w:rPr>
        <w:t>-20</w:t>
      </w:r>
      <w:r>
        <w:rPr>
          <w:rFonts w:eastAsia="仿宋" w:hint="eastAsia"/>
          <w:szCs w:val="32"/>
        </w:rPr>
        <w:t>11</w:t>
      </w:r>
      <w:r>
        <w:rPr>
          <w:rFonts w:eastAsia="仿宋"/>
          <w:szCs w:val="32"/>
        </w:rPr>
        <w:t>）（昼间</w:t>
      </w:r>
      <w:r>
        <w:rPr>
          <w:rFonts w:eastAsia="仿宋"/>
          <w:szCs w:val="32"/>
        </w:rPr>
        <w:t>≤</w:t>
      </w:r>
      <w:r>
        <w:rPr>
          <w:rFonts w:eastAsia="仿宋" w:hint="eastAsia"/>
          <w:szCs w:val="32"/>
        </w:rPr>
        <w:t>70</w:t>
      </w:r>
      <w:r>
        <w:rPr>
          <w:rFonts w:eastAsia="仿宋"/>
          <w:szCs w:val="32"/>
        </w:rPr>
        <w:t>dB(A)</w:t>
      </w:r>
      <w:r>
        <w:rPr>
          <w:rFonts w:eastAsia="仿宋"/>
          <w:szCs w:val="32"/>
        </w:rPr>
        <w:t>、夜间</w:t>
      </w:r>
      <w:r>
        <w:rPr>
          <w:rFonts w:eastAsia="仿宋"/>
          <w:szCs w:val="32"/>
        </w:rPr>
        <w:t>≤55dB(A)</w:t>
      </w:r>
      <w:r>
        <w:rPr>
          <w:rFonts w:eastAsia="仿宋"/>
          <w:szCs w:val="32"/>
        </w:rPr>
        <w:t>）</w:t>
      </w:r>
      <w:r>
        <w:rPr>
          <w:rFonts w:eastAsia="仿宋" w:hint="eastAsia"/>
          <w:szCs w:val="32"/>
        </w:rPr>
        <w:t>中排放限值</w:t>
      </w:r>
      <w:r>
        <w:rPr>
          <w:rFonts w:eastAsia="仿宋"/>
          <w:szCs w:val="32"/>
        </w:rPr>
        <w:t>。</w:t>
      </w:r>
    </w:p>
    <w:p w14:paraId="67193C67" w14:textId="77777777" w:rsidR="00CE2DED" w:rsidRDefault="00000000">
      <w:pPr>
        <w:snapToGrid w:val="0"/>
        <w:spacing w:line="580" w:lineRule="exact"/>
        <w:ind w:firstLineChars="200" w:firstLine="640"/>
      </w:pPr>
      <w:r>
        <w:rPr>
          <w:rFonts w:eastAsia="仿宋" w:hint="eastAsia"/>
          <w:szCs w:val="32"/>
        </w:rPr>
        <w:t>6</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3442C971" w14:textId="77777777" w:rsidR="00CE2DED" w:rsidRDefault="00000000">
      <w:pPr>
        <w:snapToGrid w:val="0"/>
        <w:spacing w:line="580" w:lineRule="exact"/>
        <w:ind w:firstLineChars="200" w:firstLine="640"/>
        <w:rPr>
          <w:rFonts w:eastAsia="仿宋"/>
          <w:szCs w:val="32"/>
        </w:rPr>
      </w:pPr>
      <w:r>
        <w:rPr>
          <w:rFonts w:eastAsia="仿宋" w:hint="eastAsia"/>
          <w:szCs w:val="32"/>
        </w:rPr>
        <w:lastRenderedPageBreak/>
        <w:t>7</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CE2DED" w:rsidRDefault="00000000">
      <w:pPr>
        <w:snapToGrid w:val="0"/>
        <w:spacing w:line="540" w:lineRule="exact"/>
        <w:ind w:firstLineChars="200" w:firstLine="640"/>
        <w:rPr>
          <w:rFonts w:eastAsia="仿宋"/>
          <w:szCs w:val="32"/>
        </w:rPr>
      </w:pPr>
      <w:r>
        <w:rPr>
          <w:rFonts w:eastAsia="仿宋" w:hint="eastAsia"/>
          <w:szCs w:val="32"/>
        </w:rPr>
        <w:t>8</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1DECA14" w14:textId="77777777" w:rsidR="00CE2DED" w:rsidRDefault="00000000">
      <w:pPr>
        <w:snapToGrid w:val="0"/>
        <w:spacing w:line="54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CE2DED" w:rsidRDefault="00000000">
      <w:pPr>
        <w:snapToGrid w:val="0"/>
        <w:spacing w:line="54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4C9C6098" w14:textId="77777777" w:rsidR="00CE2DED" w:rsidRDefault="00000000">
      <w:pPr>
        <w:snapToGrid w:val="0"/>
        <w:spacing w:line="54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CE2DED" w:rsidRDefault="00000000">
      <w:pPr>
        <w:snapToGrid w:val="0"/>
        <w:spacing w:line="540" w:lineRule="exact"/>
        <w:ind w:firstLineChars="200" w:firstLine="640"/>
        <w:rPr>
          <w:rFonts w:eastAsia="仿宋"/>
          <w:szCs w:val="32"/>
        </w:rPr>
      </w:pPr>
      <w:r>
        <w:rPr>
          <w:rFonts w:eastAsia="仿宋" w:hint="eastAsia"/>
          <w:szCs w:val="32"/>
        </w:rPr>
        <w:lastRenderedPageBreak/>
        <w:t>六、项目的环保设施必须与主体工程同时建成并投入使用，并按规定办理项目竣工环保验收手续。</w:t>
      </w:r>
    </w:p>
    <w:p w14:paraId="5061BD77" w14:textId="77777777" w:rsidR="00CE2DED" w:rsidRDefault="00000000">
      <w:pPr>
        <w:snapToGrid w:val="0"/>
        <w:spacing w:line="54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CE2DED" w:rsidRDefault="00CE2DED">
      <w:pPr>
        <w:snapToGrid w:val="0"/>
        <w:spacing w:line="540" w:lineRule="exact"/>
        <w:ind w:firstLineChars="200" w:firstLine="640"/>
        <w:rPr>
          <w:rFonts w:eastAsia="仿宋"/>
          <w:szCs w:val="32"/>
        </w:rPr>
      </w:pPr>
    </w:p>
    <w:p w14:paraId="4F46D03D" w14:textId="77777777" w:rsidR="00CE2DED" w:rsidRDefault="00CE2DED">
      <w:pPr>
        <w:snapToGrid w:val="0"/>
        <w:spacing w:line="540" w:lineRule="exact"/>
        <w:ind w:firstLineChars="200" w:firstLine="640"/>
        <w:rPr>
          <w:rFonts w:eastAsia="仿宋"/>
          <w:szCs w:val="32"/>
        </w:rPr>
      </w:pPr>
    </w:p>
    <w:p w14:paraId="6AAF9FD4" w14:textId="77777777" w:rsidR="00CE2DED" w:rsidRDefault="00000000">
      <w:pPr>
        <w:snapToGrid w:val="0"/>
        <w:spacing w:line="54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FFAE171" w14:textId="77777777" w:rsidR="00CE2DED" w:rsidRDefault="00000000">
      <w:pPr>
        <w:snapToGrid w:val="0"/>
        <w:spacing w:line="540" w:lineRule="exact"/>
        <w:ind w:firstLineChars="1800" w:firstLine="5760"/>
      </w:pPr>
      <w:r>
        <w:rPr>
          <w:rFonts w:eastAsia="仿宋"/>
          <w:color w:val="000000" w:themeColor="text1"/>
          <w:szCs w:val="32"/>
        </w:rPr>
        <w:t>2024</w:t>
      </w:r>
      <w:r>
        <w:rPr>
          <w:rFonts w:eastAsia="仿宋"/>
          <w:color w:val="000000" w:themeColor="text1"/>
          <w:szCs w:val="32"/>
        </w:rPr>
        <w:t>年</w:t>
      </w:r>
      <w:r>
        <w:rPr>
          <w:rFonts w:eastAsia="仿宋" w:hint="eastAsia"/>
          <w:color w:val="000000" w:themeColor="text1"/>
          <w:szCs w:val="32"/>
        </w:rPr>
        <w:t>8</w:t>
      </w:r>
      <w:r>
        <w:rPr>
          <w:rFonts w:eastAsia="仿宋"/>
          <w:color w:val="000000" w:themeColor="text1"/>
          <w:szCs w:val="32"/>
        </w:rPr>
        <w:t>月</w:t>
      </w:r>
      <w:r>
        <w:rPr>
          <w:rFonts w:eastAsia="仿宋" w:hint="eastAsia"/>
          <w:color w:val="000000" w:themeColor="text1"/>
          <w:szCs w:val="32"/>
        </w:rPr>
        <w:t>1</w:t>
      </w:r>
      <w:r>
        <w:rPr>
          <w:rFonts w:eastAsia="仿宋"/>
          <w:color w:val="000000" w:themeColor="text1"/>
          <w:szCs w:val="32"/>
        </w:rPr>
        <w:t>日</w:t>
      </w:r>
    </w:p>
    <w:p w14:paraId="130D75E9" w14:textId="77777777" w:rsidR="00CE2DED" w:rsidRDefault="00CE2DED">
      <w:pPr>
        <w:pStyle w:val="Default"/>
        <w:spacing w:line="540" w:lineRule="exact"/>
        <w:rPr>
          <w:rFonts w:hint="eastAsia"/>
        </w:rPr>
      </w:pPr>
    </w:p>
    <w:p w14:paraId="3C9B7BBF" w14:textId="77777777" w:rsidR="00CE2DED" w:rsidRDefault="00CE2DED">
      <w:pPr>
        <w:pStyle w:val="Default"/>
        <w:spacing w:line="540" w:lineRule="exact"/>
        <w:rPr>
          <w:rFonts w:hint="eastAsia"/>
        </w:rPr>
      </w:pPr>
    </w:p>
    <w:p w14:paraId="4313AC5E" w14:textId="77777777" w:rsidR="00CE2DED" w:rsidRDefault="00CE2DED">
      <w:pPr>
        <w:pStyle w:val="Default"/>
        <w:spacing w:line="540" w:lineRule="exact"/>
        <w:rPr>
          <w:rFonts w:hint="eastAsia"/>
        </w:rPr>
      </w:pPr>
    </w:p>
    <w:p w14:paraId="09808DF5" w14:textId="77777777" w:rsidR="00CE2DED" w:rsidRDefault="00CE2DED">
      <w:pPr>
        <w:pStyle w:val="Default"/>
        <w:spacing w:line="540" w:lineRule="exact"/>
        <w:rPr>
          <w:rFonts w:hint="eastAsia"/>
        </w:rPr>
      </w:pPr>
    </w:p>
    <w:p w14:paraId="6191A5F8" w14:textId="77777777" w:rsidR="00CE2DED" w:rsidRDefault="00CE2DED">
      <w:pPr>
        <w:pStyle w:val="Default"/>
        <w:spacing w:line="540" w:lineRule="exact"/>
        <w:rPr>
          <w:rFonts w:hint="eastAsia"/>
        </w:rPr>
      </w:pPr>
    </w:p>
    <w:p w14:paraId="26B41E17" w14:textId="77777777" w:rsidR="00CE2DED" w:rsidRDefault="00CE2DED">
      <w:pPr>
        <w:pStyle w:val="Default"/>
        <w:spacing w:line="540" w:lineRule="exact"/>
        <w:rPr>
          <w:rFonts w:hint="eastAsia"/>
        </w:rPr>
      </w:pPr>
    </w:p>
    <w:p w14:paraId="1AE21973" w14:textId="77777777" w:rsidR="00CE2DED" w:rsidRDefault="00CE2DED">
      <w:pPr>
        <w:pStyle w:val="Default"/>
        <w:spacing w:line="540" w:lineRule="exact"/>
        <w:rPr>
          <w:rFonts w:hint="eastAsia"/>
        </w:rPr>
      </w:pPr>
    </w:p>
    <w:p w14:paraId="193F3730" w14:textId="77777777" w:rsidR="00CE2DED" w:rsidRDefault="00CE2DED">
      <w:pPr>
        <w:pStyle w:val="Default"/>
        <w:spacing w:line="540" w:lineRule="exact"/>
        <w:rPr>
          <w:rFonts w:hint="eastAsia"/>
        </w:rPr>
      </w:pPr>
    </w:p>
    <w:p w14:paraId="6E8FCDE2" w14:textId="77777777" w:rsidR="00CE2DED" w:rsidRDefault="00CE2DED">
      <w:pPr>
        <w:pStyle w:val="Default"/>
        <w:spacing w:line="540" w:lineRule="exact"/>
      </w:pPr>
    </w:p>
    <w:p w14:paraId="7D91C75C" w14:textId="77777777" w:rsidR="00105AC0" w:rsidRDefault="00105AC0">
      <w:pPr>
        <w:pStyle w:val="Default"/>
        <w:spacing w:line="540" w:lineRule="exact"/>
        <w:rPr>
          <w:rFonts w:hint="eastAsia"/>
        </w:rPr>
      </w:pPr>
    </w:p>
    <w:p w14:paraId="57DC108E" w14:textId="77777777" w:rsidR="00CE2DED" w:rsidRDefault="00CE2DED">
      <w:pPr>
        <w:pStyle w:val="Default"/>
        <w:spacing w:line="540" w:lineRule="exact"/>
        <w:rPr>
          <w:rFonts w:hint="eastAsia"/>
        </w:rPr>
      </w:pPr>
    </w:p>
    <w:p w14:paraId="580BA24C" w14:textId="77777777" w:rsidR="00CE2DED" w:rsidRDefault="00CE2DED">
      <w:pPr>
        <w:pStyle w:val="Default"/>
        <w:spacing w:line="540" w:lineRule="exact"/>
        <w:rPr>
          <w:rFonts w:hint="eastAsia"/>
        </w:rPr>
      </w:pPr>
    </w:p>
    <w:p w14:paraId="07C9C4DA" w14:textId="77777777" w:rsidR="00CE2DED"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77777777" w:rsidR="00CE2DED"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Pr>
          <w:rFonts w:eastAsia="仿宋" w:hint="eastAsia"/>
          <w:spacing w:val="-14"/>
          <w:sz w:val="28"/>
          <w:szCs w:val="28"/>
        </w:rPr>
        <w:t>8</w:t>
      </w:r>
      <w:r>
        <w:rPr>
          <w:rFonts w:eastAsia="仿宋"/>
          <w:spacing w:val="-14"/>
          <w:sz w:val="28"/>
          <w:szCs w:val="28"/>
        </w:rPr>
        <w:t>月</w:t>
      </w:r>
      <w:r>
        <w:rPr>
          <w:rFonts w:eastAsia="仿宋" w:hint="eastAsia"/>
          <w:spacing w:val="-14"/>
          <w:sz w:val="28"/>
          <w:szCs w:val="28"/>
        </w:rPr>
        <w:t>1</w:t>
      </w:r>
      <w:r>
        <w:rPr>
          <w:rFonts w:eastAsia="仿宋"/>
          <w:spacing w:val="-14"/>
          <w:sz w:val="28"/>
          <w:szCs w:val="28"/>
        </w:rPr>
        <w:t>日印发</w:t>
      </w:r>
    </w:p>
    <w:sectPr w:rsidR="00CE2DED">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14A9" w14:textId="77777777" w:rsidR="001C5791" w:rsidRDefault="001C5791">
      <w:r>
        <w:separator/>
      </w:r>
    </w:p>
  </w:endnote>
  <w:endnote w:type="continuationSeparator" w:id="0">
    <w:p w14:paraId="3C3F6988" w14:textId="77777777" w:rsidR="001C5791" w:rsidRDefault="001C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CE2DED"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CE2DED"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2B7A4" w14:textId="77777777" w:rsidR="001C5791" w:rsidRDefault="001C5791">
      <w:r>
        <w:separator/>
      </w:r>
    </w:p>
  </w:footnote>
  <w:footnote w:type="continuationSeparator" w:id="0">
    <w:p w14:paraId="406F2589" w14:textId="77777777" w:rsidR="001C5791" w:rsidRDefault="001C5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21A1"/>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1B"/>
    <w:rsid w:val="000B03E5"/>
    <w:rsid w:val="000B05E7"/>
    <w:rsid w:val="000B0709"/>
    <w:rsid w:val="000B44F0"/>
    <w:rsid w:val="000B6B23"/>
    <w:rsid w:val="000C0C9B"/>
    <w:rsid w:val="000C6422"/>
    <w:rsid w:val="000E301F"/>
    <w:rsid w:val="000E3586"/>
    <w:rsid w:val="000E56B0"/>
    <w:rsid w:val="000E7025"/>
    <w:rsid w:val="000F407B"/>
    <w:rsid w:val="000F6ABE"/>
    <w:rsid w:val="000F6E67"/>
    <w:rsid w:val="00105AC0"/>
    <w:rsid w:val="00112131"/>
    <w:rsid w:val="001135DE"/>
    <w:rsid w:val="00134B6C"/>
    <w:rsid w:val="00137B1C"/>
    <w:rsid w:val="00137DDF"/>
    <w:rsid w:val="00137F85"/>
    <w:rsid w:val="0015006E"/>
    <w:rsid w:val="0015442F"/>
    <w:rsid w:val="001561AA"/>
    <w:rsid w:val="001623B2"/>
    <w:rsid w:val="0016492D"/>
    <w:rsid w:val="00166282"/>
    <w:rsid w:val="00180C1C"/>
    <w:rsid w:val="0018242F"/>
    <w:rsid w:val="001852BF"/>
    <w:rsid w:val="00185377"/>
    <w:rsid w:val="00195CA2"/>
    <w:rsid w:val="001A6161"/>
    <w:rsid w:val="001A7F87"/>
    <w:rsid w:val="001B3809"/>
    <w:rsid w:val="001B529D"/>
    <w:rsid w:val="001B63C9"/>
    <w:rsid w:val="001C0E3C"/>
    <w:rsid w:val="001C2FF7"/>
    <w:rsid w:val="001C5791"/>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1B09"/>
    <w:rsid w:val="00293922"/>
    <w:rsid w:val="00295BDC"/>
    <w:rsid w:val="00296BD9"/>
    <w:rsid w:val="002A06F0"/>
    <w:rsid w:val="002A1E5E"/>
    <w:rsid w:val="002A6A01"/>
    <w:rsid w:val="002A7A68"/>
    <w:rsid w:val="002B0BB0"/>
    <w:rsid w:val="002B0E12"/>
    <w:rsid w:val="002B3694"/>
    <w:rsid w:val="002C4019"/>
    <w:rsid w:val="002C5196"/>
    <w:rsid w:val="002C51F1"/>
    <w:rsid w:val="002C70D8"/>
    <w:rsid w:val="002C7306"/>
    <w:rsid w:val="002D682C"/>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28EF"/>
    <w:rsid w:val="00413B71"/>
    <w:rsid w:val="00417F1C"/>
    <w:rsid w:val="00424C5B"/>
    <w:rsid w:val="00433BBD"/>
    <w:rsid w:val="00437310"/>
    <w:rsid w:val="00442AB9"/>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022F"/>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027E"/>
    <w:rsid w:val="005B314E"/>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264E2"/>
    <w:rsid w:val="006325A7"/>
    <w:rsid w:val="00633397"/>
    <w:rsid w:val="0063688B"/>
    <w:rsid w:val="00637003"/>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F5AD6"/>
    <w:rsid w:val="006F6530"/>
    <w:rsid w:val="00701352"/>
    <w:rsid w:val="00706BD4"/>
    <w:rsid w:val="007173B2"/>
    <w:rsid w:val="007224BC"/>
    <w:rsid w:val="00722885"/>
    <w:rsid w:val="00723E01"/>
    <w:rsid w:val="0072770A"/>
    <w:rsid w:val="0072784A"/>
    <w:rsid w:val="00732B5F"/>
    <w:rsid w:val="007358A6"/>
    <w:rsid w:val="0073705E"/>
    <w:rsid w:val="00743E42"/>
    <w:rsid w:val="00756A9A"/>
    <w:rsid w:val="00763CB2"/>
    <w:rsid w:val="00764AB8"/>
    <w:rsid w:val="00770527"/>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4D80"/>
    <w:rsid w:val="008E5A48"/>
    <w:rsid w:val="008E78A8"/>
    <w:rsid w:val="008F4F07"/>
    <w:rsid w:val="008F54B4"/>
    <w:rsid w:val="008F6700"/>
    <w:rsid w:val="0090019A"/>
    <w:rsid w:val="00904BC5"/>
    <w:rsid w:val="009139AE"/>
    <w:rsid w:val="00920804"/>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D3814"/>
    <w:rsid w:val="009D5614"/>
    <w:rsid w:val="009E16BF"/>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6128F"/>
    <w:rsid w:val="00B633A7"/>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1B82"/>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26807"/>
    <w:rsid w:val="00C3054B"/>
    <w:rsid w:val="00C3337F"/>
    <w:rsid w:val="00C3399C"/>
    <w:rsid w:val="00C400BE"/>
    <w:rsid w:val="00C40794"/>
    <w:rsid w:val="00C43AF5"/>
    <w:rsid w:val="00C4656B"/>
    <w:rsid w:val="00C51487"/>
    <w:rsid w:val="00C5193A"/>
    <w:rsid w:val="00C5320D"/>
    <w:rsid w:val="00C60B4D"/>
    <w:rsid w:val="00C614EC"/>
    <w:rsid w:val="00C76A05"/>
    <w:rsid w:val="00C770C0"/>
    <w:rsid w:val="00C77CF2"/>
    <w:rsid w:val="00C84424"/>
    <w:rsid w:val="00C91811"/>
    <w:rsid w:val="00C91AEE"/>
    <w:rsid w:val="00CA124A"/>
    <w:rsid w:val="00CA526B"/>
    <w:rsid w:val="00CA7511"/>
    <w:rsid w:val="00CB075B"/>
    <w:rsid w:val="00CB2B29"/>
    <w:rsid w:val="00CB3E77"/>
    <w:rsid w:val="00CC167B"/>
    <w:rsid w:val="00CD0508"/>
    <w:rsid w:val="00CD6839"/>
    <w:rsid w:val="00CE0A19"/>
    <w:rsid w:val="00CE2DED"/>
    <w:rsid w:val="00CF4DED"/>
    <w:rsid w:val="00D0589A"/>
    <w:rsid w:val="00D224ED"/>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7037E"/>
    <w:rsid w:val="00D72473"/>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410C"/>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3D83682"/>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8064233"/>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9333B"/>
  <w15:docId w15:val="{14B75139-10DA-4AAF-9B84-4CFC0910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8</cp:revision>
  <cp:lastPrinted>2024-08-01T01:46:00Z</cp:lastPrinted>
  <dcterms:created xsi:type="dcterms:W3CDTF">2024-07-31T01:12:00Z</dcterms:created>
  <dcterms:modified xsi:type="dcterms:W3CDTF">2024-08-01T01:46:00Z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