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DDF1" w14:textId="77777777" w:rsidR="008554E1" w:rsidRDefault="008554E1">
      <w:pPr>
        <w:spacing w:line="520" w:lineRule="exact"/>
        <w:jc w:val="center"/>
        <w:rPr>
          <w:rFonts w:eastAsia="方正仿宋_GBK"/>
          <w:szCs w:val="32"/>
        </w:rPr>
      </w:pPr>
    </w:p>
    <w:p w14:paraId="5A5152E5" w14:textId="77777777" w:rsidR="008554E1" w:rsidRDefault="008554E1">
      <w:pPr>
        <w:spacing w:line="520" w:lineRule="exact"/>
        <w:jc w:val="center"/>
        <w:rPr>
          <w:rFonts w:eastAsia="新宋体"/>
          <w:b/>
          <w:sz w:val="36"/>
          <w:szCs w:val="36"/>
        </w:rPr>
      </w:pPr>
    </w:p>
    <w:p w14:paraId="7CE60E34" w14:textId="77777777" w:rsidR="008554E1" w:rsidRDefault="008554E1">
      <w:pPr>
        <w:spacing w:line="520" w:lineRule="exact"/>
        <w:jc w:val="center"/>
        <w:rPr>
          <w:rFonts w:eastAsia="新宋体"/>
          <w:b/>
          <w:sz w:val="36"/>
          <w:szCs w:val="36"/>
        </w:rPr>
      </w:pPr>
    </w:p>
    <w:p w14:paraId="20BBDA20" w14:textId="77777777" w:rsidR="008554E1" w:rsidRDefault="008554E1">
      <w:pPr>
        <w:spacing w:line="520" w:lineRule="exact"/>
        <w:jc w:val="center"/>
        <w:rPr>
          <w:rFonts w:eastAsia="新宋体"/>
          <w:b/>
          <w:sz w:val="36"/>
          <w:szCs w:val="36"/>
        </w:rPr>
      </w:pPr>
    </w:p>
    <w:p w14:paraId="61ABD391" w14:textId="77777777" w:rsidR="008554E1" w:rsidRDefault="008554E1">
      <w:pPr>
        <w:spacing w:line="520" w:lineRule="exact"/>
        <w:jc w:val="center"/>
        <w:rPr>
          <w:rFonts w:eastAsia="新宋体"/>
          <w:b/>
          <w:sz w:val="36"/>
          <w:szCs w:val="36"/>
        </w:rPr>
      </w:pPr>
    </w:p>
    <w:p w14:paraId="17E048A1" w14:textId="77777777" w:rsidR="008554E1" w:rsidRDefault="008554E1">
      <w:pPr>
        <w:spacing w:line="520" w:lineRule="exact"/>
        <w:jc w:val="center"/>
        <w:rPr>
          <w:rFonts w:eastAsia="新宋体"/>
          <w:b/>
          <w:sz w:val="36"/>
          <w:szCs w:val="36"/>
        </w:rPr>
      </w:pPr>
    </w:p>
    <w:p w14:paraId="124F11FF" w14:textId="77777777" w:rsidR="008554E1" w:rsidRDefault="008554E1">
      <w:pPr>
        <w:spacing w:line="520" w:lineRule="exact"/>
        <w:jc w:val="center"/>
        <w:rPr>
          <w:rFonts w:eastAsia="新宋体"/>
          <w:b/>
          <w:color w:val="0000FF"/>
          <w:sz w:val="36"/>
          <w:szCs w:val="36"/>
        </w:rPr>
      </w:pPr>
    </w:p>
    <w:p w14:paraId="7E721E61" w14:textId="3ADC80BC" w:rsidR="008554E1" w:rsidRPr="0069301E" w:rsidRDefault="00000000">
      <w:pPr>
        <w:spacing w:line="520" w:lineRule="exact"/>
        <w:jc w:val="center"/>
        <w:rPr>
          <w:rFonts w:eastAsia="仿宋"/>
          <w:szCs w:val="32"/>
        </w:rPr>
      </w:pPr>
      <w:r w:rsidRPr="0069301E">
        <w:rPr>
          <w:rFonts w:eastAsia="仿宋"/>
          <w:szCs w:val="32"/>
        </w:rPr>
        <w:t>泰环审（海陵）〔</w:t>
      </w:r>
      <w:r w:rsidRPr="0069301E">
        <w:rPr>
          <w:rFonts w:eastAsia="仿宋"/>
          <w:szCs w:val="32"/>
        </w:rPr>
        <w:t>2024</w:t>
      </w:r>
      <w:r w:rsidRPr="0069301E">
        <w:rPr>
          <w:rFonts w:eastAsia="仿宋"/>
          <w:szCs w:val="32"/>
        </w:rPr>
        <w:t>〕</w:t>
      </w:r>
      <w:r w:rsidR="0069301E">
        <w:rPr>
          <w:rFonts w:eastAsia="仿宋" w:hint="eastAsia"/>
          <w:szCs w:val="32"/>
        </w:rPr>
        <w:t>50</w:t>
      </w:r>
      <w:r w:rsidRPr="0069301E">
        <w:rPr>
          <w:rFonts w:eastAsia="仿宋"/>
          <w:szCs w:val="32"/>
        </w:rPr>
        <w:t>号</w:t>
      </w:r>
    </w:p>
    <w:p w14:paraId="7B0458A9" w14:textId="77777777" w:rsidR="008554E1" w:rsidRDefault="008554E1">
      <w:pPr>
        <w:spacing w:line="520" w:lineRule="exact"/>
        <w:jc w:val="center"/>
        <w:rPr>
          <w:rFonts w:eastAsia="方正仿宋_GBK"/>
          <w:szCs w:val="32"/>
        </w:rPr>
      </w:pPr>
    </w:p>
    <w:p w14:paraId="70CA3B1C" w14:textId="77777777" w:rsidR="008554E1" w:rsidRDefault="008554E1">
      <w:pPr>
        <w:spacing w:line="520" w:lineRule="exact"/>
        <w:jc w:val="center"/>
        <w:rPr>
          <w:rFonts w:eastAsia="方正仿宋_GBK"/>
          <w:szCs w:val="32"/>
        </w:rPr>
      </w:pPr>
    </w:p>
    <w:p w14:paraId="36D0E8AD" w14:textId="77777777" w:rsidR="008554E1" w:rsidRDefault="00000000">
      <w:pPr>
        <w:spacing w:line="560" w:lineRule="exact"/>
        <w:jc w:val="center"/>
        <w:rPr>
          <w:rFonts w:eastAsia="方正小标宋_GBK"/>
          <w:spacing w:val="-14"/>
          <w:sz w:val="44"/>
          <w:szCs w:val="44"/>
        </w:rPr>
      </w:pPr>
      <w:r>
        <w:rPr>
          <w:rFonts w:eastAsia="方正小标宋_GBK"/>
          <w:spacing w:val="-14"/>
          <w:sz w:val="44"/>
          <w:szCs w:val="44"/>
        </w:rPr>
        <w:t>关于对泰州粤丰环保电力有限公司协同处置</w:t>
      </w:r>
    </w:p>
    <w:p w14:paraId="5E20BD00" w14:textId="77777777" w:rsidR="008554E1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-14"/>
          <w:sz w:val="44"/>
          <w:szCs w:val="44"/>
        </w:rPr>
        <w:t>污泥项目环境影响报告书的批复</w:t>
      </w:r>
    </w:p>
    <w:p w14:paraId="28FF9ABE" w14:textId="77777777" w:rsidR="008554E1" w:rsidRDefault="008554E1">
      <w:pPr>
        <w:snapToGrid w:val="0"/>
        <w:spacing w:line="480" w:lineRule="exact"/>
        <w:ind w:firstLineChars="200" w:firstLine="640"/>
        <w:rPr>
          <w:rFonts w:eastAsia="仿宋"/>
          <w:szCs w:val="32"/>
        </w:rPr>
      </w:pPr>
    </w:p>
    <w:p w14:paraId="70E03A85" w14:textId="77777777" w:rsidR="008554E1" w:rsidRDefault="00000000">
      <w:pPr>
        <w:snapToGrid w:val="0"/>
        <w:spacing w:line="500" w:lineRule="exact"/>
        <w:rPr>
          <w:rFonts w:eastAsia="仿宋"/>
          <w:szCs w:val="32"/>
        </w:rPr>
      </w:pPr>
      <w:r>
        <w:rPr>
          <w:rFonts w:eastAsia="仿宋"/>
          <w:szCs w:val="32"/>
        </w:rPr>
        <w:t>泰州粤丰环保电力有限公司：</w:t>
      </w:r>
    </w:p>
    <w:p w14:paraId="6531F5CD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你公司报送的《协同处置污泥项目环境影响报告书》（以下简称《报告书》）收悉，经研究，审批意见如下：</w:t>
      </w:r>
    </w:p>
    <w:p w14:paraId="48AFB27B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一、你公司对《报告书》的内容和结论负责，环评编制单位对其编制的《报告书》承担相应责任。</w:t>
      </w:r>
    </w:p>
    <w:p w14:paraId="175EFFF0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二、根据《报告书》评价结论，在符合《泰州市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十四五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生态环境保护规划》及《江苏省现代农业综合开发示范区（泰州市红旗良种场）总体规划（</w:t>
      </w:r>
      <w:r>
        <w:rPr>
          <w:rFonts w:eastAsia="仿宋"/>
          <w:szCs w:val="32"/>
        </w:rPr>
        <w:t>2015~2030</w:t>
      </w:r>
      <w:r>
        <w:rPr>
          <w:rFonts w:eastAsia="仿宋"/>
          <w:szCs w:val="32"/>
        </w:rPr>
        <w:t>）》，落实污染防治措施和生态保护措施，在不新增用地、不增加日处理量、不新增排污总量的前提下，仅从环境保护角度考虑，同意该项目在江苏省现代农业综合开发示范区（泰州市红旗良种场）内泰州粤丰环保电力有限公司现厂址内技改。本项目优先保障生活垃圾全量处理，利</w:t>
      </w:r>
      <w:r>
        <w:rPr>
          <w:rFonts w:eastAsia="仿宋"/>
          <w:szCs w:val="32"/>
        </w:rPr>
        <w:lastRenderedPageBreak/>
        <w:t>用现有生活垃圾焚烧炉协同处置一般工业固废（项目已获得泰州市城管局同意）。在不改变焚烧炉的基础上，全厂焚烧炉掺烧一般工业固废</w:t>
      </w:r>
      <w:r>
        <w:rPr>
          <w:rFonts w:eastAsia="仿宋"/>
          <w:szCs w:val="32"/>
        </w:rPr>
        <w:t>260</w:t>
      </w:r>
      <w:r>
        <w:rPr>
          <w:rFonts w:eastAsia="仿宋"/>
          <w:szCs w:val="32"/>
        </w:rPr>
        <w:t>吨</w:t>
      </w:r>
      <w:r>
        <w:rPr>
          <w:rFonts w:eastAsia="仿宋"/>
          <w:szCs w:val="32"/>
        </w:rPr>
        <w:t>/</w:t>
      </w:r>
      <w:r>
        <w:rPr>
          <w:rFonts w:eastAsia="仿宋"/>
          <w:szCs w:val="32"/>
        </w:rPr>
        <w:t>日，其中城镇污水处理厂污泥</w:t>
      </w:r>
      <w:r>
        <w:rPr>
          <w:rFonts w:eastAsia="仿宋"/>
          <w:szCs w:val="32"/>
        </w:rPr>
        <w:t>60</w:t>
      </w:r>
      <w:r>
        <w:rPr>
          <w:rFonts w:eastAsia="仿宋"/>
          <w:szCs w:val="32"/>
        </w:rPr>
        <w:t>吨</w:t>
      </w:r>
      <w:r>
        <w:rPr>
          <w:rFonts w:eastAsia="仿宋"/>
          <w:szCs w:val="32"/>
        </w:rPr>
        <w:t>/</w:t>
      </w:r>
      <w:r>
        <w:rPr>
          <w:rFonts w:eastAsia="仿宋"/>
          <w:szCs w:val="32"/>
        </w:rPr>
        <w:t>日（入场城镇污水处理厂污泥含水率</w:t>
      </w:r>
      <w:r>
        <w:rPr>
          <w:rFonts w:eastAsia="仿宋"/>
          <w:szCs w:val="32"/>
        </w:rPr>
        <w:t>≤65%</w:t>
      </w:r>
      <w:r>
        <w:rPr>
          <w:rFonts w:eastAsia="仿宋"/>
          <w:szCs w:val="32"/>
        </w:rPr>
        <w:t>），不改变现有焚烧炉总处理能力</w:t>
      </w:r>
      <w:r>
        <w:rPr>
          <w:rFonts w:eastAsia="仿宋"/>
          <w:szCs w:val="32"/>
        </w:rPr>
        <w:t>850</w:t>
      </w:r>
      <w:r>
        <w:rPr>
          <w:rFonts w:eastAsia="仿宋"/>
          <w:szCs w:val="32"/>
        </w:rPr>
        <w:t>吨</w:t>
      </w:r>
      <w:r>
        <w:rPr>
          <w:rFonts w:eastAsia="仿宋"/>
          <w:szCs w:val="32"/>
        </w:rPr>
        <w:t>/</w:t>
      </w:r>
      <w:r>
        <w:rPr>
          <w:rFonts w:eastAsia="仿宋"/>
          <w:szCs w:val="32"/>
        </w:rPr>
        <w:t>日。本项目首先确保生活垃圾的焚烧处理，如生活垃圾入炉量增加，则相应减少工业固废掺烧量。你公司不得擅自扩大建设规模及改变建设内容。</w:t>
      </w:r>
    </w:p>
    <w:p w14:paraId="328D5934" w14:textId="36EC92DC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三、在项目运营期管理中，你公司应认真落实《报告书》中提出的各项环保要求，严格执行环保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三同时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制度，确保各类污染物达标排放，并须着重做好以下工作：</w:t>
      </w:r>
    </w:p>
    <w:p w14:paraId="0F860C4A" w14:textId="77777777" w:rsidR="008554E1" w:rsidRDefault="00000000">
      <w:pPr>
        <w:snapToGrid w:val="0"/>
        <w:spacing w:line="500" w:lineRule="exact"/>
        <w:ind w:firstLineChars="200" w:firstLine="640"/>
      </w:pPr>
      <w:r>
        <w:rPr>
          <w:rFonts w:eastAsia="仿宋"/>
          <w:szCs w:val="32"/>
        </w:rPr>
        <w:t>1</w:t>
      </w:r>
      <w:r>
        <w:rPr>
          <w:rFonts w:eastAsia="仿宋"/>
          <w:szCs w:val="32"/>
        </w:rPr>
        <w:t>、全厂应实行雨污分流、清污分流。本项目废水治理措施依托现有，项目废水全部回用不外排。本项目高浓度废水进入渗滤液废水处理系统，采用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调节池</w:t>
      </w:r>
      <w:r>
        <w:rPr>
          <w:rFonts w:eastAsia="仿宋"/>
          <w:szCs w:val="32"/>
        </w:rPr>
        <w:t>+UASB+MBR+NF+RO”</w:t>
      </w:r>
      <w:r>
        <w:rPr>
          <w:rFonts w:eastAsia="仿宋"/>
          <w:szCs w:val="32"/>
        </w:rPr>
        <w:t>处理工艺，处理后出水回用于冷却塔补水，浓水进焚烧炉焚烧；低浓度废水中生活污水、化水反冲洗水、填埋场设备冲洗废水进入低浓度废水处理系统，采用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调节池</w:t>
      </w:r>
      <w:r>
        <w:rPr>
          <w:rFonts w:eastAsia="仿宋"/>
          <w:szCs w:val="32"/>
        </w:rPr>
        <w:t>+ MBR+</w:t>
      </w:r>
      <w:r>
        <w:rPr>
          <w:rFonts w:eastAsia="仿宋"/>
          <w:szCs w:val="32"/>
        </w:rPr>
        <w:t>消毒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处理工艺，处理后回用于冷却塔补水；锅炉定连排水、化水系统浓水回用于冷却塔补水；循环水系统排水回用于出渣机补水、烟气处理补水、飞灰稳定化补水。回用于冷却塔补水执行《城市污水再生利用</w:t>
      </w:r>
      <w:r>
        <w:rPr>
          <w:rFonts w:eastAsia="仿宋"/>
          <w:szCs w:val="32"/>
        </w:rPr>
        <w:t>-</w:t>
      </w:r>
      <w:r>
        <w:rPr>
          <w:rFonts w:eastAsia="仿宋"/>
          <w:szCs w:val="32"/>
        </w:rPr>
        <w:t>工业用水水质标准》（</w:t>
      </w:r>
      <w:r>
        <w:rPr>
          <w:rFonts w:eastAsia="仿宋"/>
          <w:szCs w:val="32"/>
        </w:rPr>
        <w:t>GB/T19923-2024</w:t>
      </w:r>
      <w:r>
        <w:rPr>
          <w:rFonts w:eastAsia="仿宋"/>
          <w:szCs w:val="32"/>
        </w:rPr>
        <w:t>）中间冷开式循环冷却水补充水水质标准。</w:t>
      </w:r>
    </w:p>
    <w:p w14:paraId="6732705B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2</w:t>
      </w:r>
      <w:r>
        <w:rPr>
          <w:rFonts w:eastAsia="仿宋"/>
          <w:szCs w:val="32"/>
        </w:rPr>
        <w:t>、落实《报告书》提出的废气污染防治措施，减少废气排放。焚烧烟气净化系统采用</w:t>
      </w:r>
      <w:r>
        <w:rPr>
          <w:rFonts w:eastAsia="仿宋"/>
          <w:szCs w:val="32"/>
        </w:rPr>
        <w:t>“SNCR</w:t>
      </w:r>
      <w:r>
        <w:rPr>
          <w:rFonts w:eastAsia="仿宋"/>
          <w:szCs w:val="32"/>
        </w:rPr>
        <w:t>脱硝</w:t>
      </w:r>
      <w:r>
        <w:rPr>
          <w:rFonts w:eastAsia="仿宋"/>
          <w:szCs w:val="32"/>
        </w:rPr>
        <w:t>+ PNCR</w:t>
      </w:r>
      <w:r>
        <w:rPr>
          <w:rFonts w:eastAsia="仿宋"/>
          <w:szCs w:val="32"/>
        </w:rPr>
        <w:t>脱硝</w:t>
      </w:r>
      <w:r>
        <w:rPr>
          <w:rFonts w:eastAsia="仿宋"/>
          <w:szCs w:val="32"/>
        </w:rPr>
        <w:t>+</w:t>
      </w:r>
      <w:r>
        <w:rPr>
          <w:rFonts w:eastAsia="仿宋"/>
          <w:szCs w:val="32"/>
        </w:rPr>
        <w:t>半干法脱酸</w:t>
      </w:r>
      <w:r>
        <w:rPr>
          <w:rFonts w:eastAsia="仿宋"/>
          <w:szCs w:val="32"/>
        </w:rPr>
        <w:t>+</w:t>
      </w:r>
      <w:r>
        <w:rPr>
          <w:rFonts w:eastAsia="仿宋"/>
          <w:szCs w:val="32"/>
        </w:rPr>
        <w:t>干法脱酸</w:t>
      </w:r>
      <w:r>
        <w:rPr>
          <w:rFonts w:eastAsia="仿宋"/>
          <w:szCs w:val="32"/>
        </w:rPr>
        <w:t>+</w:t>
      </w:r>
      <w:r>
        <w:rPr>
          <w:rFonts w:eastAsia="仿宋"/>
          <w:szCs w:val="32"/>
        </w:rPr>
        <w:t>活性炭吸附</w:t>
      </w:r>
      <w:r>
        <w:rPr>
          <w:rFonts w:eastAsia="仿宋"/>
          <w:szCs w:val="32"/>
        </w:rPr>
        <w:t>+</w:t>
      </w:r>
      <w:r>
        <w:rPr>
          <w:rFonts w:eastAsia="仿宋"/>
          <w:szCs w:val="32"/>
        </w:rPr>
        <w:t>布袋除尘器</w:t>
      </w:r>
      <w:r>
        <w:rPr>
          <w:rFonts w:eastAsia="仿宋"/>
          <w:szCs w:val="32"/>
        </w:rPr>
        <w:t>+SCR</w:t>
      </w:r>
      <w:r>
        <w:rPr>
          <w:rFonts w:eastAsia="仿宋"/>
          <w:szCs w:val="32"/>
        </w:rPr>
        <w:t>脱硝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的组合烟气净化工艺，处理后经</w:t>
      </w:r>
      <w:r>
        <w:rPr>
          <w:rFonts w:eastAsia="仿宋"/>
          <w:szCs w:val="32"/>
        </w:rPr>
        <w:t>1</w:t>
      </w:r>
      <w:r>
        <w:rPr>
          <w:rFonts w:eastAsia="仿宋"/>
          <w:szCs w:val="32"/>
        </w:rPr>
        <w:t>座</w:t>
      </w:r>
      <w:r>
        <w:rPr>
          <w:rFonts w:eastAsia="仿宋"/>
          <w:szCs w:val="32"/>
        </w:rPr>
        <w:t>80</w:t>
      </w:r>
      <w:r>
        <w:rPr>
          <w:rFonts w:eastAsia="仿宋"/>
          <w:szCs w:val="32"/>
        </w:rPr>
        <w:t>米高烟囱排放。焚烧炉技术指标及</w:t>
      </w:r>
      <w:r>
        <w:rPr>
          <w:rFonts w:eastAsia="仿宋"/>
          <w:szCs w:val="32"/>
        </w:rPr>
        <w:lastRenderedPageBreak/>
        <w:t>烟气排放执行《生活垃圾焚烧污染控制标准》（</w:t>
      </w:r>
      <w:r>
        <w:rPr>
          <w:rFonts w:eastAsia="仿宋"/>
          <w:szCs w:val="32"/>
        </w:rPr>
        <w:t>GB 18485-2014</w:t>
      </w:r>
      <w:r>
        <w:rPr>
          <w:rFonts w:eastAsia="仿宋"/>
          <w:szCs w:val="32"/>
        </w:rPr>
        <w:t>），氟化氢小时值参照执行欧盟标准（</w:t>
      </w:r>
      <w:r>
        <w:rPr>
          <w:rFonts w:eastAsia="仿宋"/>
          <w:szCs w:val="32"/>
        </w:rPr>
        <w:t>EU2010/76/EC</w:t>
      </w:r>
      <w:r>
        <w:rPr>
          <w:rFonts w:eastAsia="仿宋"/>
          <w:szCs w:val="32"/>
        </w:rPr>
        <w:t>）。</w:t>
      </w:r>
    </w:p>
    <w:p w14:paraId="1D35C770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飞灰库</w:t>
      </w:r>
      <w:r>
        <w:rPr>
          <w:rFonts w:eastAsia="仿宋"/>
          <w:szCs w:val="32"/>
        </w:rPr>
        <w:t>1</w:t>
      </w:r>
      <w:r>
        <w:rPr>
          <w:rFonts w:eastAsia="仿宋"/>
          <w:szCs w:val="32"/>
        </w:rPr>
        <w:t>粉尘经布袋除尘装置处理后由</w:t>
      </w:r>
      <w:r>
        <w:rPr>
          <w:rFonts w:eastAsia="仿宋"/>
          <w:szCs w:val="32"/>
        </w:rPr>
        <w:t>28</w:t>
      </w:r>
      <w:r>
        <w:rPr>
          <w:rFonts w:eastAsia="仿宋"/>
          <w:szCs w:val="32"/>
        </w:rPr>
        <w:t>米高排气筒排放，氧化钙仓、消石灰仓粉尘经布袋除尘装置处理后分别由</w:t>
      </w:r>
      <w:r>
        <w:rPr>
          <w:rFonts w:eastAsia="仿宋"/>
          <w:szCs w:val="32"/>
        </w:rPr>
        <w:t>25</w:t>
      </w:r>
      <w:r>
        <w:rPr>
          <w:rFonts w:eastAsia="仿宋"/>
          <w:szCs w:val="32"/>
        </w:rPr>
        <w:t>米高排气筒排放，活性炭仓粉尘经布袋除尘装置处理后由</w:t>
      </w:r>
      <w:r>
        <w:rPr>
          <w:rFonts w:eastAsia="仿宋"/>
          <w:szCs w:val="32"/>
        </w:rPr>
        <w:t>15</w:t>
      </w:r>
      <w:r>
        <w:rPr>
          <w:rFonts w:eastAsia="仿宋"/>
          <w:szCs w:val="32"/>
        </w:rPr>
        <w:t>米高排气筒排放，飞灰库</w:t>
      </w:r>
      <w:r>
        <w:rPr>
          <w:rFonts w:eastAsia="仿宋"/>
          <w:szCs w:val="32"/>
        </w:rPr>
        <w:t>2</w:t>
      </w:r>
      <w:r>
        <w:rPr>
          <w:rFonts w:eastAsia="仿宋"/>
          <w:szCs w:val="32"/>
        </w:rPr>
        <w:t>飞灰稳定化间搅拌罐粉尘经布袋除尘装置处理后由</w:t>
      </w:r>
      <w:r>
        <w:rPr>
          <w:rFonts w:eastAsia="仿宋"/>
          <w:szCs w:val="32"/>
        </w:rPr>
        <w:t>28</w:t>
      </w:r>
      <w:r>
        <w:rPr>
          <w:rFonts w:eastAsia="仿宋"/>
          <w:szCs w:val="32"/>
        </w:rPr>
        <w:t>米高排气筒排放，出渣池、飞灰稳定化间粉尘经水膜除尘处理后由</w:t>
      </w:r>
      <w:r>
        <w:rPr>
          <w:rFonts w:eastAsia="仿宋"/>
          <w:szCs w:val="32"/>
        </w:rPr>
        <w:t>18</w:t>
      </w:r>
      <w:r>
        <w:rPr>
          <w:rFonts w:eastAsia="仿宋"/>
          <w:szCs w:val="32"/>
        </w:rPr>
        <w:t>米高排气筒排放。飞灰库、氧化钙仓、消石灰仓、活性炭仓、出渣池、飞灰稳定化车间排放的颗粒物以及厂界颗粒物执行《大气污染物综合排放标准》（</w:t>
      </w:r>
      <w:r>
        <w:rPr>
          <w:rFonts w:eastAsia="仿宋"/>
          <w:szCs w:val="32"/>
        </w:rPr>
        <w:t>DB32/4041-2021</w:t>
      </w:r>
      <w:r>
        <w:rPr>
          <w:rFonts w:eastAsia="仿宋"/>
          <w:szCs w:val="32"/>
        </w:rPr>
        <w:t>）相应标准限值要求。</w:t>
      </w:r>
    </w:p>
    <w:p w14:paraId="77D03640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飞灰暂存间含氨废气经负压收集水洗后车间内无组织排放。垃圾库、渗滤液处理站采用密闭负压措施，产生的臭气进入焚烧炉焚烧，焚烧炉检修时通过活性碳处理后通过</w:t>
      </w:r>
      <w:r>
        <w:rPr>
          <w:rFonts w:eastAsia="仿宋"/>
          <w:szCs w:val="32"/>
        </w:rPr>
        <w:t>1</w:t>
      </w:r>
      <w:r>
        <w:rPr>
          <w:rFonts w:eastAsia="仿宋"/>
          <w:szCs w:val="32"/>
        </w:rPr>
        <w:t>根</w:t>
      </w:r>
      <w:r>
        <w:rPr>
          <w:rFonts w:eastAsia="仿宋"/>
          <w:szCs w:val="32"/>
        </w:rPr>
        <w:t>20</w:t>
      </w:r>
      <w:r>
        <w:rPr>
          <w:rFonts w:eastAsia="仿宋"/>
          <w:szCs w:val="32"/>
        </w:rPr>
        <w:t>米高排气筒排放。渗滤液处理站沼气采用密闭负压进入焚烧炉焚烧，焚烧炉检修时，通过火炬燃烧处理后排放。厂界氨、硫化氢、臭气浓度执行《恶臭污染物排放标准》（</w:t>
      </w:r>
      <w:r>
        <w:rPr>
          <w:rFonts w:eastAsia="仿宋"/>
          <w:szCs w:val="32"/>
        </w:rPr>
        <w:t>GB14554-93</w:t>
      </w:r>
      <w:r>
        <w:rPr>
          <w:rFonts w:eastAsia="仿宋"/>
          <w:szCs w:val="32"/>
        </w:rPr>
        <w:t>）表</w:t>
      </w:r>
      <w:r>
        <w:rPr>
          <w:rFonts w:eastAsia="仿宋"/>
          <w:szCs w:val="32"/>
        </w:rPr>
        <w:t>1</w:t>
      </w:r>
      <w:r>
        <w:rPr>
          <w:rFonts w:eastAsia="仿宋"/>
          <w:szCs w:val="32"/>
        </w:rPr>
        <w:t>二级新扩改建厂界标准值。</w:t>
      </w:r>
    </w:p>
    <w:p w14:paraId="76E336F1" w14:textId="49C0BB38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3</w:t>
      </w:r>
      <w:r>
        <w:rPr>
          <w:rFonts w:eastAsia="仿宋"/>
          <w:szCs w:val="32"/>
        </w:rPr>
        <w:t>、本次技改不新增高噪声设备，合理厂区布局，选用低噪声机械设备，采用隔声、消音、减振等降噪措施，减少噪声对周边环境的影响。运营期厂界噪声执行《工业企业厂界环境噪声排放标准》（</w:t>
      </w:r>
      <w:r>
        <w:rPr>
          <w:rFonts w:eastAsia="仿宋"/>
          <w:szCs w:val="32"/>
        </w:rPr>
        <w:t>GB12348-2008</w:t>
      </w:r>
      <w:r>
        <w:rPr>
          <w:rFonts w:eastAsia="仿宋"/>
          <w:szCs w:val="32"/>
        </w:rPr>
        <w:t>）</w:t>
      </w:r>
      <w:r w:rsidR="0069301E">
        <w:rPr>
          <w:rFonts w:eastAsia="仿宋" w:hint="eastAsia"/>
          <w:szCs w:val="32"/>
        </w:rPr>
        <w:t>3</w:t>
      </w:r>
      <w:r>
        <w:rPr>
          <w:rFonts w:eastAsia="仿宋"/>
          <w:szCs w:val="32"/>
        </w:rPr>
        <w:t>类标准（昼间</w:t>
      </w:r>
      <w:r>
        <w:rPr>
          <w:rFonts w:eastAsia="仿宋"/>
          <w:szCs w:val="32"/>
        </w:rPr>
        <w:t>≤6</w:t>
      </w:r>
      <w:r w:rsidR="0069301E">
        <w:rPr>
          <w:rFonts w:eastAsia="仿宋" w:hint="eastAsia"/>
          <w:szCs w:val="32"/>
        </w:rPr>
        <w:t>5</w:t>
      </w:r>
      <w:r>
        <w:rPr>
          <w:rFonts w:eastAsia="仿宋"/>
          <w:szCs w:val="32"/>
        </w:rPr>
        <w:t>dB(A)</w:t>
      </w:r>
      <w:r>
        <w:rPr>
          <w:rFonts w:eastAsia="仿宋"/>
          <w:szCs w:val="32"/>
        </w:rPr>
        <w:t>、夜间</w:t>
      </w:r>
      <w:r>
        <w:rPr>
          <w:rFonts w:eastAsia="仿宋"/>
          <w:szCs w:val="32"/>
        </w:rPr>
        <w:t>≤5</w:t>
      </w:r>
      <w:r w:rsidR="0069301E">
        <w:rPr>
          <w:rFonts w:eastAsia="仿宋" w:hint="eastAsia"/>
          <w:szCs w:val="32"/>
        </w:rPr>
        <w:t>5</w:t>
      </w:r>
      <w:r>
        <w:rPr>
          <w:rFonts w:eastAsia="仿宋"/>
          <w:szCs w:val="32"/>
        </w:rPr>
        <w:t>dB(A)</w:t>
      </w:r>
      <w:r>
        <w:rPr>
          <w:rFonts w:eastAsia="仿宋"/>
          <w:szCs w:val="32"/>
        </w:rPr>
        <w:t>）。</w:t>
      </w:r>
    </w:p>
    <w:p w14:paraId="65ABE914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4</w:t>
      </w:r>
      <w:r>
        <w:rPr>
          <w:rFonts w:eastAsia="仿宋"/>
          <w:szCs w:val="32"/>
        </w:rPr>
        <w:t>、</w:t>
      </w:r>
      <w:bookmarkStart w:id="0" w:name="_Hlk89953971"/>
      <w:r>
        <w:rPr>
          <w:rFonts w:eastAsia="仿宋"/>
          <w:szCs w:val="32"/>
        </w:rPr>
        <w:t>按</w:t>
      </w:r>
      <w:r>
        <w:rPr>
          <w:rFonts w:eastAsia="仿宋"/>
          <w:szCs w:val="32"/>
        </w:rPr>
        <w:t>“</w:t>
      </w:r>
      <w:r>
        <w:rPr>
          <w:rFonts w:eastAsia="仿宋"/>
          <w:szCs w:val="32"/>
        </w:rPr>
        <w:t>资源化、减量化、无害化</w:t>
      </w:r>
      <w:r>
        <w:rPr>
          <w:rFonts w:eastAsia="仿宋"/>
          <w:szCs w:val="32"/>
        </w:rPr>
        <w:t>”</w:t>
      </w:r>
      <w:r>
        <w:rPr>
          <w:rFonts w:eastAsia="仿宋"/>
          <w:szCs w:val="32"/>
        </w:rPr>
        <w:t>原则和环境管理要求，落实各类固废的收集、处置和综合利用措施，须委托具备处置资质的</w:t>
      </w:r>
      <w:r>
        <w:rPr>
          <w:rFonts w:eastAsia="仿宋"/>
          <w:szCs w:val="32"/>
        </w:rPr>
        <w:lastRenderedPageBreak/>
        <w:t>单位安全处置并纳入江苏省固体废物管理信息系统管理，实现固体废物全部综合利用或安全处置。一般固体废物暂存场所应符合《一般工业固体废物贮存和填埋污染控制标准》（</w:t>
      </w:r>
      <w:r>
        <w:rPr>
          <w:rFonts w:eastAsia="仿宋"/>
          <w:szCs w:val="32"/>
        </w:rPr>
        <w:t>GB18599-2020</w:t>
      </w:r>
      <w:r>
        <w:rPr>
          <w:rFonts w:eastAsia="仿宋"/>
          <w:szCs w:val="32"/>
        </w:rPr>
        <w:t>）要求。危废转移须按规定办理相关审批手续，经批准同意后方可实施转移。危废贮存设施应严格按照《危险废物贮存污染控制标准》（</w:t>
      </w:r>
      <w:r>
        <w:rPr>
          <w:rFonts w:eastAsia="仿宋"/>
          <w:szCs w:val="32"/>
        </w:rPr>
        <w:t>GB18597-2023</w:t>
      </w:r>
      <w:r>
        <w:rPr>
          <w:rFonts w:eastAsia="仿宋"/>
          <w:szCs w:val="32"/>
        </w:rPr>
        <w:t>）《危险废物识别标志设置技术规范》（</w:t>
      </w:r>
      <w:r>
        <w:rPr>
          <w:rFonts w:eastAsia="仿宋"/>
          <w:szCs w:val="32"/>
        </w:rPr>
        <w:t>HJ1276-2022</w:t>
      </w:r>
      <w:r>
        <w:rPr>
          <w:rFonts w:eastAsia="仿宋"/>
          <w:szCs w:val="32"/>
        </w:rPr>
        <w:t>）</w:t>
      </w:r>
      <w:r>
        <w:t>《江苏省固体废物全过程环境监管工作意见》</w:t>
      </w:r>
      <w:r>
        <w:rPr>
          <w:rFonts w:eastAsia="仿宋"/>
          <w:szCs w:val="32"/>
        </w:rPr>
        <w:t>（</w:t>
      </w:r>
      <w:r>
        <w:t>苏环办〔</w:t>
      </w:r>
      <w:bookmarkStart w:id="1" w:name="bhsj"/>
      <w:r>
        <w:t>2024</w:t>
      </w:r>
      <w:bookmarkEnd w:id="1"/>
      <w:r>
        <w:t>〕</w:t>
      </w:r>
      <w:bookmarkStart w:id="2" w:name="xh"/>
      <w:r>
        <w:t>16</w:t>
      </w:r>
      <w:bookmarkEnd w:id="2"/>
      <w:r>
        <w:t>号</w:t>
      </w:r>
      <w:r>
        <w:rPr>
          <w:rFonts w:eastAsia="仿宋"/>
          <w:szCs w:val="32"/>
        </w:rPr>
        <w:t>）等文件要求建设，同时须按规定办理规划、安全、住建、消防等相关手续，消除风险隐患。</w:t>
      </w:r>
      <w:bookmarkEnd w:id="0"/>
    </w:p>
    <w:p w14:paraId="5E8F3CBD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5</w:t>
      </w:r>
      <w:r>
        <w:rPr>
          <w:rFonts w:eastAsia="仿宋"/>
          <w:szCs w:val="32"/>
        </w:rPr>
        <w:t>、按照《江苏省排污口设置及规范化整治管理办法》（苏环控〔</w:t>
      </w:r>
      <w:r>
        <w:rPr>
          <w:rFonts w:eastAsia="仿宋"/>
          <w:szCs w:val="32"/>
        </w:rPr>
        <w:t>1997</w:t>
      </w:r>
      <w:r>
        <w:rPr>
          <w:rFonts w:eastAsia="仿宋"/>
          <w:szCs w:val="32"/>
        </w:rPr>
        <w:t>〕</w:t>
      </w:r>
      <w:r>
        <w:rPr>
          <w:rFonts w:eastAsia="仿宋"/>
          <w:szCs w:val="32"/>
        </w:rPr>
        <w:t>122</w:t>
      </w:r>
      <w:r>
        <w:rPr>
          <w:rFonts w:eastAsia="仿宋"/>
          <w:szCs w:val="32"/>
        </w:rPr>
        <w:t>号）等要求，规范化设置排污口及相应标识牌。按照《排污单位自行监测技术指南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总则》（</w:t>
      </w:r>
      <w:r>
        <w:rPr>
          <w:rFonts w:eastAsia="仿宋"/>
          <w:szCs w:val="32"/>
        </w:rPr>
        <w:t>HJ819-2017</w:t>
      </w:r>
      <w:r>
        <w:rPr>
          <w:rFonts w:eastAsia="仿宋"/>
          <w:szCs w:val="32"/>
        </w:rPr>
        <w:t>）《排污许可证申请与核发技术规范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生活垃圾焚烧》（</w:t>
      </w:r>
      <w:r>
        <w:rPr>
          <w:rFonts w:eastAsia="仿宋"/>
          <w:szCs w:val="32"/>
        </w:rPr>
        <w:t>HJ1039-2019</w:t>
      </w:r>
      <w:r>
        <w:rPr>
          <w:rFonts w:eastAsia="仿宋"/>
          <w:szCs w:val="32"/>
        </w:rPr>
        <w:t>）《排污单位自行监测技术指南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固体废物焚烧》（</w:t>
      </w:r>
      <w:r>
        <w:rPr>
          <w:rFonts w:eastAsia="仿宋"/>
          <w:szCs w:val="32"/>
        </w:rPr>
        <w:t>HJ 1205—2021</w:t>
      </w:r>
      <w:r>
        <w:rPr>
          <w:rFonts w:eastAsia="仿宋"/>
          <w:szCs w:val="32"/>
        </w:rPr>
        <w:t>）及《江苏省污染源自动监测监控管理办法（</w:t>
      </w:r>
      <w:r>
        <w:rPr>
          <w:rFonts w:eastAsia="仿宋"/>
          <w:szCs w:val="32"/>
        </w:rPr>
        <w:t>2022</w:t>
      </w:r>
      <w:r>
        <w:rPr>
          <w:rFonts w:eastAsia="仿宋"/>
          <w:szCs w:val="32"/>
        </w:rPr>
        <w:t>年修订）》等要求建设、安装在线自动监控设施。严格按照《报告书》要求制定和实施自行监测计划，建立污染源监测数据台账。</w:t>
      </w:r>
      <w:r>
        <w:rPr>
          <w:rFonts w:eastAsia="仿宋"/>
          <w:szCs w:val="32"/>
        </w:rPr>
        <w:t xml:space="preserve"> </w:t>
      </w:r>
    </w:p>
    <w:p w14:paraId="381A0FBA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6</w:t>
      </w:r>
      <w:r>
        <w:rPr>
          <w:rFonts w:eastAsia="仿宋"/>
          <w:szCs w:val="32"/>
        </w:rPr>
        <w:t>、按照《报告书》要求，认真落实各项环境风险防范和事故减缓措施。依托现有</w:t>
      </w:r>
      <w:r>
        <w:rPr>
          <w:rFonts w:eastAsia="仿宋"/>
          <w:szCs w:val="32"/>
        </w:rPr>
        <w:t>2</w:t>
      </w:r>
      <w:r>
        <w:rPr>
          <w:rFonts w:eastAsia="仿宋"/>
          <w:szCs w:val="32"/>
        </w:rPr>
        <w:t>座应急事故池，完善应急设施建设。进一步健全污染事故防控和应急管理体系，修订和完善环境风险应急预案，并定期组织开展环境风险应急预案演练，提高应急响应速度和应急处理能力。加强环境风险防范与应急体系建设，落实组织体系、管理制度、设施物资、信息系统和区域联控（联动）机制等方面措施，加大环境风险预警和监控力度。设置专门的环境管理机构，建立完善的环境管理体系，强化监测和管理工作，</w:t>
      </w:r>
      <w:r>
        <w:rPr>
          <w:rFonts w:eastAsia="仿宋"/>
          <w:szCs w:val="32"/>
        </w:rPr>
        <w:lastRenderedPageBreak/>
        <w:t>制定设备工程检修和维修制度，建设非正常工况、事故状况缓冲处理设施，杜绝发生污染事故。</w:t>
      </w:r>
    </w:p>
    <w:p w14:paraId="33D7316B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7</w:t>
      </w:r>
      <w:r>
        <w:rPr>
          <w:rFonts w:eastAsia="仿宋"/>
          <w:szCs w:val="32"/>
        </w:rPr>
        <w:t>、按照江苏省生态环境厅、江苏省应急管理厅《关于做好生态环境和应急管理部门联动工作的意见》（苏环办〔</w:t>
      </w:r>
      <w:r>
        <w:rPr>
          <w:rFonts w:eastAsia="仿宋"/>
          <w:szCs w:val="32"/>
        </w:rPr>
        <w:t>2020</w:t>
      </w:r>
      <w:r>
        <w:rPr>
          <w:rFonts w:eastAsia="仿宋"/>
          <w:szCs w:val="32"/>
        </w:rPr>
        <w:t>〕</w:t>
      </w:r>
      <w:r>
        <w:rPr>
          <w:rFonts w:eastAsia="仿宋"/>
          <w:szCs w:val="32"/>
        </w:rPr>
        <w:t>101</w:t>
      </w:r>
      <w:r>
        <w:rPr>
          <w:rFonts w:eastAsia="仿宋"/>
          <w:szCs w:val="32"/>
        </w:rPr>
        <w:t>号），泰州市生态环境局《关于印发安全生产治本攻坚三年行动（</w:t>
      </w:r>
      <w:r>
        <w:rPr>
          <w:rFonts w:eastAsia="仿宋"/>
          <w:szCs w:val="32"/>
        </w:rPr>
        <w:t>2024-2026</w:t>
      </w:r>
      <w:r>
        <w:rPr>
          <w:rFonts w:eastAsia="仿宋"/>
          <w:szCs w:val="32"/>
        </w:rPr>
        <w:t>年）实施方案和</w:t>
      </w: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年重点工作任务的通知》（泰环办〔</w:t>
      </w: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〕</w:t>
      </w:r>
      <w:r>
        <w:rPr>
          <w:rFonts w:eastAsia="仿宋"/>
          <w:szCs w:val="32"/>
        </w:rPr>
        <w:t>21</w:t>
      </w:r>
      <w:r>
        <w:rPr>
          <w:rFonts w:eastAsia="仿宋"/>
          <w:szCs w:val="32"/>
        </w:rPr>
        <w:t>号）等相关文件要求，开展各类环境治理设施安全风险辨识，纳入安全评价范围，并按照相关规定履行手续，健全内部污染防治设施稳定运行和管理责任制度，严格依据标准规范建设环境治理设施，确保环境治理设施安全、稳定、有效运行。</w:t>
      </w:r>
    </w:p>
    <w:p w14:paraId="4CCBB015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8</w:t>
      </w:r>
      <w:r>
        <w:rPr>
          <w:rFonts w:eastAsia="仿宋"/>
          <w:szCs w:val="32"/>
        </w:rPr>
        <w:t>、本项目设置垃圾焚烧厂界外</w:t>
      </w:r>
      <w:r>
        <w:rPr>
          <w:rFonts w:eastAsia="仿宋"/>
          <w:szCs w:val="32"/>
        </w:rPr>
        <w:t>300</w:t>
      </w:r>
      <w:r>
        <w:rPr>
          <w:rFonts w:eastAsia="仿宋"/>
          <w:szCs w:val="32"/>
        </w:rPr>
        <w:t>米、填埋场场界外</w:t>
      </w:r>
      <w:r>
        <w:rPr>
          <w:rFonts w:eastAsia="仿宋"/>
          <w:szCs w:val="32"/>
        </w:rPr>
        <w:t>500m</w:t>
      </w:r>
      <w:r>
        <w:rPr>
          <w:rFonts w:eastAsia="仿宋"/>
          <w:szCs w:val="32"/>
        </w:rPr>
        <w:t>的环境防护距离。目前防护距离范围内无居民区、学校、医院等环境敏感目标，以后也不得新建。</w:t>
      </w:r>
    </w:p>
    <w:p w14:paraId="7F73637A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9</w:t>
      </w:r>
      <w:r>
        <w:rPr>
          <w:rFonts w:eastAsia="仿宋"/>
          <w:szCs w:val="32"/>
        </w:rPr>
        <w:t>、本项目在发生实际排污行为之前，你公司应当按照《排污许可管理条例》（国务院令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第</w:t>
      </w:r>
      <w:r>
        <w:rPr>
          <w:rFonts w:eastAsia="仿宋"/>
          <w:szCs w:val="32"/>
        </w:rPr>
        <w:t>736</w:t>
      </w:r>
      <w:r>
        <w:rPr>
          <w:rFonts w:eastAsia="仿宋"/>
          <w:szCs w:val="32"/>
        </w:rPr>
        <w:t>号）、《排污许可管理办法》（部令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第</w:t>
      </w:r>
      <w:r>
        <w:rPr>
          <w:rFonts w:eastAsia="仿宋"/>
          <w:szCs w:val="32"/>
        </w:rPr>
        <w:t>32</w:t>
      </w:r>
      <w:r>
        <w:rPr>
          <w:rFonts w:eastAsia="仿宋"/>
          <w:szCs w:val="32"/>
        </w:rPr>
        <w:t>号）及《排污许可申请与核发技术规范》等文件要求申请排污许可证变更手续，做到规范排污。</w:t>
      </w:r>
    </w:p>
    <w:p w14:paraId="37487BBD" w14:textId="527458BC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四、按照《关于做好</w:t>
      </w: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年度总量管理相关工作的通知》（泰环办〔</w:t>
      </w: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〕</w:t>
      </w:r>
      <w:r>
        <w:rPr>
          <w:rFonts w:eastAsia="仿宋"/>
          <w:szCs w:val="32"/>
        </w:rPr>
        <w:t>8</w:t>
      </w:r>
      <w:r>
        <w:rPr>
          <w:rFonts w:eastAsia="仿宋"/>
          <w:szCs w:val="32"/>
        </w:rPr>
        <w:t>号）要求获得排污总量。项目建成后污染物年排放总量不得突破《报告</w:t>
      </w:r>
      <w:r w:rsidR="0069301E">
        <w:rPr>
          <w:rFonts w:eastAsia="仿宋" w:hint="eastAsia"/>
          <w:szCs w:val="32"/>
        </w:rPr>
        <w:t>书</w:t>
      </w:r>
      <w:r>
        <w:rPr>
          <w:rFonts w:eastAsia="仿宋"/>
          <w:szCs w:val="32"/>
        </w:rPr>
        <w:t>》核定的排放总量。</w:t>
      </w:r>
    </w:p>
    <w:p w14:paraId="72BFC83D" w14:textId="6A29D143" w:rsidR="008554E1" w:rsidRDefault="0069301E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五、泰州市生态环境综合行政执法局</w:t>
      </w:r>
      <w:r>
        <w:rPr>
          <w:rFonts w:eastAsia="仿宋" w:hint="eastAsia"/>
          <w:szCs w:val="32"/>
        </w:rPr>
        <w:t>海陵一、二、三局</w:t>
      </w:r>
      <w:r>
        <w:rPr>
          <w:rFonts w:eastAsia="仿宋"/>
          <w:szCs w:val="32"/>
        </w:rPr>
        <w:t>负责该项目运营期间的环境监督管理工作。</w:t>
      </w:r>
    </w:p>
    <w:p w14:paraId="4271D069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六、项目的环保设施必须与主体工程同时建成并投入使用，并按规定办理项目竣工环保验收手续。</w:t>
      </w:r>
    </w:p>
    <w:p w14:paraId="2355168D" w14:textId="77777777" w:rsidR="008554E1" w:rsidRDefault="00000000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七、该项目《报告书》自批准之日起满</w:t>
      </w:r>
      <w:r>
        <w:rPr>
          <w:rFonts w:eastAsia="仿宋"/>
          <w:szCs w:val="32"/>
        </w:rPr>
        <w:t>5</w:t>
      </w:r>
      <w:r>
        <w:rPr>
          <w:rFonts w:eastAsia="仿宋"/>
          <w:szCs w:val="32"/>
        </w:rPr>
        <w:t>年，项目方开工建</w:t>
      </w:r>
      <w:r>
        <w:rPr>
          <w:rFonts w:eastAsia="仿宋"/>
          <w:szCs w:val="32"/>
        </w:rPr>
        <w:lastRenderedPageBreak/>
        <w:t>设的，其《报告书》应当报我局重新审核。项目的性质、规模、地点、采取的工艺或防治污染、防止生态破坏的措施等发生重大变化的，你公司应当重新报批该项目的环境影响评价文件。</w:t>
      </w:r>
    </w:p>
    <w:p w14:paraId="124EE0DD" w14:textId="77777777" w:rsidR="008554E1" w:rsidRDefault="008554E1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</w:p>
    <w:p w14:paraId="77153641" w14:textId="77777777" w:rsidR="008554E1" w:rsidRDefault="008554E1">
      <w:pPr>
        <w:snapToGrid w:val="0"/>
        <w:spacing w:line="500" w:lineRule="exact"/>
        <w:ind w:firstLineChars="200" w:firstLine="640"/>
        <w:rPr>
          <w:rFonts w:eastAsia="仿宋"/>
          <w:szCs w:val="32"/>
        </w:rPr>
      </w:pPr>
    </w:p>
    <w:p w14:paraId="03CF4FC2" w14:textId="77777777" w:rsidR="008554E1" w:rsidRDefault="00000000">
      <w:pPr>
        <w:snapToGrid w:val="0"/>
        <w:spacing w:line="500" w:lineRule="exact"/>
        <w:ind w:right="640" w:firstLineChars="200" w:firstLine="64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泰州市生态环境局</w:t>
      </w:r>
    </w:p>
    <w:p w14:paraId="43336792" w14:textId="38F89283" w:rsidR="008554E1" w:rsidRDefault="00000000">
      <w:pPr>
        <w:tabs>
          <w:tab w:val="left" w:pos="8160"/>
          <w:tab w:val="left" w:pos="8320"/>
        </w:tabs>
        <w:spacing w:line="500" w:lineRule="exact"/>
        <w:ind w:rightChars="200" w:right="64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 w:rsidRPr="0069301E">
        <w:rPr>
          <w:rFonts w:eastAsia="仿宋"/>
          <w:szCs w:val="32"/>
        </w:rPr>
        <w:t>7</w:t>
      </w:r>
      <w:r w:rsidRPr="0069301E">
        <w:rPr>
          <w:rFonts w:eastAsia="仿宋"/>
          <w:szCs w:val="32"/>
        </w:rPr>
        <w:t>月</w:t>
      </w:r>
      <w:r w:rsidR="001616B2">
        <w:rPr>
          <w:rFonts w:eastAsia="仿宋" w:hint="eastAsia"/>
          <w:szCs w:val="32"/>
        </w:rPr>
        <w:t>22</w:t>
      </w:r>
      <w:r w:rsidRPr="0069301E">
        <w:rPr>
          <w:rFonts w:eastAsia="仿宋"/>
          <w:szCs w:val="32"/>
        </w:rPr>
        <w:t>日</w:t>
      </w:r>
    </w:p>
    <w:p w14:paraId="10019E7E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26C0A0D1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09E1A7CE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62F07AC1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259E4023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3A10A772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61CBA16A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76BDB6AA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40DE3C6D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0B980A9A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141520AE" w14:textId="77777777" w:rsidR="008554E1" w:rsidRDefault="008554E1">
      <w:pPr>
        <w:pStyle w:val="Default"/>
        <w:spacing w:line="500" w:lineRule="exact"/>
        <w:rPr>
          <w:rFonts w:ascii="Times New Roman" w:hAnsi="Times New Roman" w:cs="Times New Roman"/>
          <w:color w:val="auto"/>
        </w:rPr>
      </w:pPr>
    </w:p>
    <w:p w14:paraId="58E38460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3D2D1F44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568EE7B4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3210A9EF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662392DC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2B5A34C3" w14:textId="77777777" w:rsidR="0069301E" w:rsidRDefault="0069301E" w:rsidP="0069301E">
      <w:pPr>
        <w:pStyle w:val="Default"/>
        <w:spacing w:line="480" w:lineRule="exact"/>
        <w:rPr>
          <w:rFonts w:ascii="Times New Roman" w:hAnsi="Times New Roman" w:cs="Times New Roman"/>
          <w:color w:val="auto"/>
        </w:rPr>
      </w:pPr>
    </w:p>
    <w:p w14:paraId="3EA6E72B" w14:textId="77777777" w:rsidR="0069301E" w:rsidRPr="0089325A" w:rsidRDefault="0069301E" w:rsidP="0069301E">
      <w:pPr>
        <w:pBdr>
          <w:top w:val="single" w:sz="6" w:space="1" w:color="auto"/>
          <w:bottom w:val="single" w:sz="6" w:space="1" w:color="auto"/>
        </w:pBdr>
        <w:jc w:val="left"/>
        <w:rPr>
          <w:rFonts w:eastAsia="仿宋"/>
          <w:spacing w:val="-14"/>
          <w:sz w:val="28"/>
          <w:szCs w:val="28"/>
        </w:rPr>
      </w:pPr>
      <w:bookmarkStart w:id="3" w:name="_Hlk89954023"/>
      <w:r w:rsidRPr="0089325A">
        <w:rPr>
          <w:rFonts w:eastAsia="仿宋"/>
          <w:spacing w:val="-14"/>
          <w:sz w:val="28"/>
          <w:szCs w:val="28"/>
        </w:rPr>
        <w:t>抄送：泰州市生态环境综合行政执法</w:t>
      </w:r>
      <w:r w:rsidRPr="0089325A">
        <w:rPr>
          <w:rFonts w:eastAsia="仿宋" w:hint="eastAsia"/>
          <w:spacing w:val="-14"/>
          <w:sz w:val="28"/>
          <w:szCs w:val="28"/>
        </w:rPr>
        <w:t>海陵一、二、三局，</w:t>
      </w:r>
      <w:r w:rsidRPr="0089325A">
        <w:rPr>
          <w:rFonts w:eastAsia="仿宋"/>
          <w:spacing w:val="-14"/>
          <w:sz w:val="28"/>
          <w:szCs w:val="28"/>
        </w:rPr>
        <w:t>泰州市海陵生态环境局</w:t>
      </w:r>
    </w:p>
    <w:bookmarkEnd w:id="3"/>
    <w:p w14:paraId="2BC6B1D2" w14:textId="57F357AE" w:rsidR="008554E1" w:rsidRPr="0069301E" w:rsidRDefault="0069301E" w:rsidP="0069301E">
      <w:pPr>
        <w:pBdr>
          <w:bottom w:val="single" w:sz="6" w:space="1" w:color="auto"/>
          <w:between w:val="single" w:sz="6" w:space="1" w:color="auto"/>
        </w:pBdr>
        <w:tabs>
          <w:tab w:val="left" w:pos="8480"/>
        </w:tabs>
        <w:rPr>
          <w:spacing w:val="-20"/>
        </w:rPr>
      </w:pPr>
      <w:r w:rsidRPr="0089325A">
        <w:rPr>
          <w:rFonts w:eastAsia="仿宋"/>
          <w:spacing w:val="-14"/>
          <w:sz w:val="28"/>
          <w:szCs w:val="28"/>
        </w:rPr>
        <w:t>泰州市生态环境局办公室</w:t>
      </w:r>
      <w:r w:rsidRPr="0089325A">
        <w:rPr>
          <w:rFonts w:eastAsia="仿宋"/>
          <w:spacing w:val="-14"/>
          <w:sz w:val="28"/>
          <w:szCs w:val="28"/>
        </w:rPr>
        <w:t xml:space="preserve">                </w:t>
      </w:r>
      <w:r w:rsidRPr="0089325A">
        <w:rPr>
          <w:rFonts w:eastAsia="仿宋" w:hint="eastAsia"/>
          <w:spacing w:val="-14"/>
          <w:sz w:val="28"/>
          <w:szCs w:val="28"/>
        </w:rPr>
        <w:t xml:space="preserve">               </w:t>
      </w:r>
      <w:r w:rsidRPr="0089325A">
        <w:rPr>
          <w:rFonts w:eastAsia="仿宋"/>
          <w:spacing w:val="-14"/>
          <w:sz w:val="28"/>
          <w:szCs w:val="28"/>
        </w:rPr>
        <w:t xml:space="preserve"> 202</w:t>
      </w:r>
      <w:r w:rsidRPr="0089325A">
        <w:rPr>
          <w:rFonts w:eastAsia="仿宋" w:hint="eastAsia"/>
          <w:spacing w:val="-14"/>
          <w:sz w:val="28"/>
          <w:szCs w:val="28"/>
        </w:rPr>
        <w:t>4</w:t>
      </w:r>
      <w:r w:rsidRPr="0089325A">
        <w:rPr>
          <w:rFonts w:eastAsia="仿宋"/>
          <w:spacing w:val="-14"/>
          <w:sz w:val="28"/>
          <w:szCs w:val="28"/>
        </w:rPr>
        <w:t>年</w:t>
      </w:r>
      <w:r w:rsidRPr="0089325A">
        <w:rPr>
          <w:rFonts w:eastAsia="仿宋" w:hint="eastAsia"/>
          <w:spacing w:val="-14"/>
          <w:sz w:val="28"/>
          <w:szCs w:val="28"/>
        </w:rPr>
        <w:t>7</w:t>
      </w:r>
      <w:r w:rsidRPr="0089325A">
        <w:rPr>
          <w:rFonts w:eastAsia="仿宋"/>
          <w:spacing w:val="-14"/>
          <w:sz w:val="28"/>
          <w:szCs w:val="28"/>
        </w:rPr>
        <w:t>月</w:t>
      </w:r>
      <w:r w:rsidR="001616B2">
        <w:rPr>
          <w:rFonts w:eastAsia="仿宋" w:hint="eastAsia"/>
          <w:spacing w:val="-14"/>
          <w:sz w:val="28"/>
          <w:szCs w:val="28"/>
        </w:rPr>
        <w:t>22</w:t>
      </w:r>
      <w:r w:rsidRPr="0089325A">
        <w:rPr>
          <w:rFonts w:eastAsia="仿宋"/>
          <w:spacing w:val="-14"/>
          <w:sz w:val="28"/>
          <w:szCs w:val="28"/>
        </w:rPr>
        <w:t>日印发</w:t>
      </w:r>
    </w:p>
    <w:sectPr w:rsidR="008554E1" w:rsidRPr="0069301E">
      <w:footerReference w:type="even" r:id="rId7"/>
      <w:footerReference w:type="default" r:id="rId8"/>
      <w:pgSz w:w="11907" w:h="16840"/>
      <w:pgMar w:top="1985" w:right="1531" w:bottom="1985" w:left="1531" w:header="851" w:footer="992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B25F" w14:textId="77777777" w:rsidR="00814D1B" w:rsidRDefault="00814D1B">
      <w:r>
        <w:separator/>
      </w:r>
    </w:p>
  </w:endnote>
  <w:endnote w:type="continuationSeparator" w:id="0">
    <w:p w14:paraId="6663BA81" w14:textId="77777777" w:rsidR="00814D1B" w:rsidRDefault="0081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DA33" w14:textId="77777777" w:rsidR="008554E1" w:rsidRDefault="00000000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0584" w14:textId="77777777" w:rsidR="008554E1" w:rsidRDefault="00000000">
    <w:pPr>
      <w:pStyle w:val="a9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4 -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4BD9" w14:textId="77777777" w:rsidR="00814D1B" w:rsidRDefault="00814D1B">
      <w:r>
        <w:separator/>
      </w:r>
    </w:p>
  </w:footnote>
  <w:footnote w:type="continuationSeparator" w:id="0">
    <w:p w14:paraId="32C409D2" w14:textId="77777777" w:rsidR="00814D1B" w:rsidRDefault="0081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3NWZlMTFjZGQ5YjllZjc4NjNkNTlhZDA3NzM5MzYifQ=="/>
  </w:docVars>
  <w:rsids>
    <w:rsidRoot w:val="009C5662"/>
    <w:rsid w:val="00003157"/>
    <w:rsid w:val="00004C22"/>
    <w:rsid w:val="0000709F"/>
    <w:rsid w:val="00007E29"/>
    <w:rsid w:val="00012B9B"/>
    <w:rsid w:val="000155B6"/>
    <w:rsid w:val="00025DF4"/>
    <w:rsid w:val="0002678C"/>
    <w:rsid w:val="000440CD"/>
    <w:rsid w:val="00050156"/>
    <w:rsid w:val="00050712"/>
    <w:rsid w:val="00051B3F"/>
    <w:rsid w:val="00052B9A"/>
    <w:rsid w:val="00054705"/>
    <w:rsid w:val="00064AB4"/>
    <w:rsid w:val="000712D9"/>
    <w:rsid w:val="00076909"/>
    <w:rsid w:val="00076D97"/>
    <w:rsid w:val="000806FF"/>
    <w:rsid w:val="000874A2"/>
    <w:rsid w:val="00097A81"/>
    <w:rsid w:val="00097DF7"/>
    <w:rsid w:val="000A5B55"/>
    <w:rsid w:val="000B03E5"/>
    <w:rsid w:val="000B0709"/>
    <w:rsid w:val="000B1ED0"/>
    <w:rsid w:val="000B44F0"/>
    <w:rsid w:val="000B6B23"/>
    <w:rsid w:val="000C0C9B"/>
    <w:rsid w:val="000C6422"/>
    <w:rsid w:val="000E2146"/>
    <w:rsid w:val="000E301F"/>
    <w:rsid w:val="000E3586"/>
    <w:rsid w:val="000E56B0"/>
    <w:rsid w:val="000E7025"/>
    <w:rsid w:val="000F407B"/>
    <w:rsid w:val="000F6ABE"/>
    <w:rsid w:val="00112131"/>
    <w:rsid w:val="001135DE"/>
    <w:rsid w:val="00123706"/>
    <w:rsid w:val="00137B1C"/>
    <w:rsid w:val="001561AA"/>
    <w:rsid w:val="001616B2"/>
    <w:rsid w:val="001623B2"/>
    <w:rsid w:val="00180C1C"/>
    <w:rsid w:val="0018242F"/>
    <w:rsid w:val="00192C50"/>
    <w:rsid w:val="00195CA2"/>
    <w:rsid w:val="001A03FF"/>
    <w:rsid w:val="001A6161"/>
    <w:rsid w:val="001B529D"/>
    <w:rsid w:val="001B63C9"/>
    <w:rsid w:val="001C0E3C"/>
    <w:rsid w:val="001D311C"/>
    <w:rsid w:val="001D4190"/>
    <w:rsid w:val="001D6ED0"/>
    <w:rsid w:val="001E749A"/>
    <w:rsid w:val="001F52D9"/>
    <w:rsid w:val="0020289A"/>
    <w:rsid w:val="00204A74"/>
    <w:rsid w:val="00206F4F"/>
    <w:rsid w:val="00222268"/>
    <w:rsid w:val="002269A3"/>
    <w:rsid w:val="0023041F"/>
    <w:rsid w:val="00234107"/>
    <w:rsid w:val="00247923"/>
    <w:rsid w:val="00256C6B"/>
    <w:rsid w:val="00273C7B"/>
    <w:rsid w:val="00277190"/>
    <w:rsid w:val="00293922"/>
    <w:rsid w:val="00296BD9"/>
    <w:rsid w:val="002A6A01"/>
    <w:rsid w:val="002A78D9"/>
    <w:rsid w:val="002B3694"/>
    <w:rsid w:val="002B73BA"/>
    <w:rsid w:val="002C5196"/>
    <w:rsid w:val="002C51F1"/>
    <w:rsid w:val="002E0CAE"/>
    <w:rsid w:val="002E2E7B"/>
    <w:rsid w:val="002E4A21"/>
    <w:rsid w:val="002E6C21"/>
    <w:rsid w:val="002E7ADB"/>
    <w:rsid w:val="002E7C41"/>
    <w:rsid w:val="002F6AAD"/>
    <w:rsid w:val="002F7712"/>
    <w:rsid w:val="00301910"/>
    <w:rsid w:val="00303248"/>
    <w:rsid w:val="00311832"/>
    <w:rsid w:val="00321126"/>
    <w:rsid w:val="00321EFA"/>
    <w:rsid w:val="00324883"/>
    <w:rsid w:val="00326410"/>
    <w:rsid w:val="00332B11"/>
    <w:rsid w:val="00334E84"/>
    <w:rsid w:val="00350412"/>
    <w:rsid w:val="00351B65"/>
    <w:rsid w:val="00352D51"/>
    <w:rsid w:val="003602E1"/>
    <w:rsid w:val="00361289"/>
    <w:rsid w:val="00361CCF"/>
    <w:rsid w:val="003813B3"/>
    <w:rsid w:val="00381B82"/>
    <w:rsid w:val="00384BD7"/>
    <w:rsid w:val="0039640E"/>
    <w:rsid w:val="003A0C0E"/>
    <w:rsid w:val="003A2409"/>
    <w:rsid w:val="003D00D4"/>
    <w:rsid w:val="003D5AB2"/>
    <w:rsid w:val="003D644A"/>
    <w:rsid w:val="003E0968"/>
    <w:rsid w:val="003E1FAB"/>
    <w:rsid w:val="003E4500"/>
    <w:rsid w:val="003E7BAB"/>
    <w:rsid w:val="00410632"/>
    <w:rsid w:val="00410D9D"/>
    <w:rsid w:val="00424C5B"/>
    <w:rsid w:val="00433BBD"/>
    <w:rsid w:val="00446476"/>
    <w:rsid w:val="004512B7"/>
    <w:rsid w:val="00454F9F"/>
    <w:rsid w:val="004663C6"/>
    <w:rsid w:val="00476C5E"/>
    <w:rsid w:val="00482D2E"/>
    <w:rsid w:val="00490B30"/>
    <w:rsid w:val="0049636B"/>
    <w:rsid w:val="004A53CA"/>
    <w:rsid w:val="004B3EA9"/>
    <w:rsid w:val="004C0A47"/>
    <w:rsid w:val="004D5687"/>
    <w:rsid w:val="004F2E72"/>
    <w:rsid w:val="004F4217"/>
    <w:rsid w:val="0050140D"/>
    <w:rsid w:val="005066F4"/>
    <w:rsid w:val="00506DB3"/>
    <w:rsid w:val="00514FC5"/>
    <w:rsid w:val="00516B0C"/>
    <w:rsid w:val="00517AB3"/>
    <w:rsid w:val="00523AC7"/>
    <w:rsid w:val="005258CA"/>
    <w:rsid w:val="00535593"/>
    <w:rsid w:val="00535956"/>
    <w:rsid w:val="00556182"/>
    <w:rsid w:val="005561CF"/>
    <w:rsid w:val="00557214"/>
    <w:rsid w:val="0056056E"/>
    <w:rsid w:val="005663EC"/>
    <w:rsid w:val="00576F11"/>
    <w:rsid w:val="00583E24"/>
    <w:rsid w:val="0059635A"/>
    <w:rsid w:val="0059670E"/>
    <w:rsid w:val="005A12EB"/>
    <w:rsid w:val="005A7C25"/>
    <w:rsid w:val="005B66F2"/>
    <w:rsid w:val="005C7DC4"/>
    <w:rsid w:val="005D1505"/>
    <w:rsid w:val="005D5031"/>
    <w:rsid w:val="005D6AB1"/>
    <w:rsid w:val="005E0BD3"/>
    <w:rsid w:val="005E65AD"/>
    <w:rsid w:val="005F002A"/>
    <w:rsid w:val="005F4B5E"/>
    <w:rsid w:val="005F5C22"/>
    <w:rsid w:val="00603218"/>
    <w:rsid w:val="00614F31"/>
    <w:rsid w:val="00621686"/>
    <w:rsid w:val="0063688B"/>
    <w:rsid w:val="00646E6C"/>
    <w:rsid w:val="0064768F"/>
    <w:rsid w:val="00650C75"/>
    <w:rsid w:val="00652739"/>
    <w:rsid w:val="00653EA7"/>
    <w:rsid w:val="006558B6"/>
    <w:rsid w:val="0067538E"/>
    <w:rsid w:val="006769C9"/>
    <w:rsid w:val="00693007"/>
    <w:rsid w:val="0069301E"/>
    <w:rsid w:val="00694D7D"/>
    <w:rsid w:val="006A185C"/>
    <w:rsid w:val="006A4D0B"/>
    <w:rsid w:val="006B4C01"/>
    <w:rsid w:val="006B4D9D"/>
    <w:rsid w:val="006C2ABE"/>
    <w:rsid w:val="006C2B45"/>
    <w:rsid w:val="006C2DFE"/>
    <w:rsid w:val="006C3103"/>
    <w:rsid w:val="006C439C"/>
    <w:rsid w:val="006C4E14"/>
    <w:rsid w:val="006C73B8"/>
    <w:rsid w:val="006D244A"/>
    <w:rsid w:val="006D4F82"/>
    <w:rsid w:val="006F0214"/>
    <w:rsid w:val="006F5AD6"/>
    <w:rsid w:val="00706BD4"/>
    <w:rsid w:val="007173B2"/>
    <w:rsid w:val="0072770A"/>
    <w:rsid w:val="0072784A"/>
    <w:rsid w:val="00732B5F"/>
    <w:rsid w:val="007358A6"/>
    <w:rsid w:val="00743E42"/>
    <w:rsid w:val="00763CB2"/>
    <w:rsid w:val="007807B7"/>
    <w:rsid w:val="00785439"/>
    <w:rsid w:val="0078784B"/>
    <w:rsid w:val="007A77AD"/>
    <w:rsid w:val="007A7B84"/>
    <w:rsid w:val="007B38B9"/>
    <w:rsid w:val="007B5423"/>
    <w:rsid w:val="007B6183"/>
    <w:rsid w:val="007B7B0B"/>
    <w:rsid w:val="007C3893"/>
    <w:rsid w:val="007D4374"/>
    <w:rsid w:val="007E0050"/>
    <w:rsid w:val="007F3ED1"/>
    <w:rsid w:val="00805F94"/>
    <w:rsid w:val="00814D1B"/>
    <w:rsid w:val="00832BD5"/>
    <w:rsid w:val="00842928"/>
    <w:rsid w:val="00845CA8"/>
    <w:rsid w:val="00846BF5"/>
    <w:rsid w:val="00853BD0"/>
    <w:rsid w:val="008554E1"/>
    <w:rsid w:val="008569DD"/>
    <w:rsid w:val="008628A0"/>
    <w:rsid w:val="008631E2"/>
    <w:rsid w:val="008704E8"/>
    <w:rsid w:val="00873AD0"/>
    <w:rsid w:val="0087601E"/>
    <w:rsid w:val="00876AA9"/>
    <w:rsid w:val="00877C6D"/>
    <w:rsid w:val="008A04F5"/>
    <w:rsid w:val="008B1443"/>
    <w:rsid w:val="008B6DBD"/>
    <w:rsid w:val="008C3D7E"/>
    <w:rsid w:val="008D039C"/>
    <w:rsid w:val="008D0D75"/>
    <w:rsid w:val="008D16A1"/>
    <w:rsid w:val="008D4DA6"/>
    <w:rsid w:val="008D62BF"/>
    <w:rsid w:val="008E3B54"/>
    <w:rsid w:val="008E4800"/>
    <w:rsid w:val="008E4ADA"/>
    <w:rsid w:val="008E78A8"/>
    <w:rsid w:val="008F4F07"/>
    <w:rsid w:val="00920804"/>
    <w:rsid w:val="00940FA7"/>
    <w:rsid w:val="0094611F"/>
    <w:rsid w:val="00950EAB"/>
    <w:rsid w:val="00956104"/>
    <w:rsid w:val="00960DD5"/>
    <w:rsid w:val="00961D72"/>
    <w:rsid w:val="00963F17"/>
    <w:rsid w:val="00971543"/>
    <w:rsid w:val="00982CB0"/>
    <w:rsid w:val="00991AA5"/>
    <w:rsid w:val="009A34A5"/>
    <w:rsid w:val="009A3FCC"/>
    <w:rsid w:val="009A640D"/>
    <w:rsid w:val="009A75D0"/>
    <w:rsid w:val="009B1718"/>
    <w:rsid w:val="009C3397"/>
    <w:rsid w:val="009C5662"/>
    <w:rsid w:val="009E2EEA"/>
    <w:rsid w:val="009F2B15"/>
    <w:rsid w:val="009F3BF6"/>
    <w:rsid w:val="00A15376"/>
    <w:rsid w:val="00A16AD0"/>
    <w:rsid w:val="00A244BA"/>
    <w:rsid w:val="00A251B0"/>
    <w:rsid w:val="00A32B65"/>
    <w:rsid w:val="00A37DAC"/>
    <w:rsid w:val="00A4712D"/>
    <w:rsid w:val="00A501D8"/>
    <w:rsid w:val="00A55185"/>
    <w:rsid w:val="00A563E4"/>
    <w:rsid w:val="00A62BE3"/>
    <w:rsid w:val="00A634E2"/>
    <w:rsid w:val="00A706DD"/>
    <w:rsid w:val="00A73090"/>
    <w:rsid w:val="00A75067"/>
    <w:rsid w:val="00A813CF"/>
    <w:rsid w:val="00A86441"/>
    <w:rsid w:val="00A9005C"/>
    <w:rsid w:val="00AA69EA"/>
    <w:rsid w:val="00AA7825"/>
    <w:rsid w:val="00AB40C7"/>
    <w:rsid w:val="00AC5AE2"/>
    <w:rsid w:val="00AE1319"/>
    <w:rsid w:val="00AE5F8B"/>
    <w:rsid w:val="00B00AAA"/>
    <w:rsid w:val="00B05152"/>
    <w:rsid w:val="00B14269"/>
    <w:rsid w:val="00B33039"/>
    <w:rsid w:val="00B375C5"/>
    <w:rsid w:val="00B633A7"/>
    <w:rsid w:val="00B66498"/>
    <w:rsid w:val="00B836E5"/>
    <w:rsid w:val="00B871F9"/>
    <w:rsid w:val="00BA13F8"/>
    <w:rsid w:val="00BA324A"/>
    <w:rsid w:val="00BA6596"/>
    <w:rsid w:val="00BB1A15"/>
    <w:rsid w:val="00BC2AFA"/>
    <w:rsid w:val="00BD3C01"/>
    <w:rsid w:val="00BD4365"/>
    <w:rsid w:val="00BE55E8"/>
    <w:rsid w:val="00BE61C2"/>
    <w:rsid w:val="00BF3304"/>
    <w:rsid w:val="00BF62C5"/>
    <w:rsid w:val="00BF6BF7"/>
    <w:rsid w:val="00BF7503"/>
    <w:rsid w:val="00C01443"/>
    <w:rsid w:val="00C26463"/>
    <w:rsid w:val="00C3054B"/>
    <w:rsid w:val="00C3337F"/>
    <w:rsid w:val="00C3399C"/>
    <w:rsid w:val="00C41208"/>
    <w:rsid w:val="00C51487"/>
    <w:rsid w:val="00C5320D"/>
    <w:rsid w:val="00C60B4D"/>
    <w:rsid w:val="00C76A05"/>
    <w:rsid w:val="00C77CF2"/>
    <w:rsid w:val="00C84424"/>
    <w:rsid w:val="00C91AEE"/>
    <w:rsid w:val="00CA124A"/>
    <w:rsid w:val="00CA526B"/>
    <w:rsid w:val="00CA7511"/>
    <w:rsid w:val="00CB2B29"/>
    <w:rsid w:val="00CD1F24"/>
    <w:rsid w:val="00CE446B"/>
    <w:rsid w:val="00CF502B"/>
    <w:rsid w:val="00D32135"/>
    <w:rsid w:val="00D3460D"/>
    <w:rsid w:val="00D34C2B"/>
    <w:rsid w:val="00D57CE8"/>
    <w:rsid w:val="00D64E4B"/>
    <w:rsid w:val="00D676D0"/>
    <w:rsid w:val="00D92253"/>
    <w:rsid w:val="00D96EAD"/>
    <w:rsid w:val="00DA2762"/>
    <w:rsid w:val="00DA406E"/>
    <w:rsid w:val="00DB2FBC"/>
    <w:rsid w:val="00DB3EBF"/>
    <w:rsid w:val="00DB49B7"/>
    <w:rsid w:val="00DB72C7"/>
    <w:rsid w:val="00DB7F37"/>
    <w:rsid w:val="00DC02B3"/>
    <w:rsid w:val="00DE20F1"/>
    <w:rsid w:val="00DE4465"/>
    <w:rsid w:val="00DE5445"/>
    <w:rsid w:val="00DE64A4"/>
    <w:rsid w:val="00DF35AE"/>
    <w:rsid w:val="00E009E3"/>
    <w:rsid w:val="00E0660A"/>
    <w:rsid w:val="00E20596"/>
    <w:rsid w:val="00E515FA"/>
    <w:rsid w:val="00E60C3C"/>
    <w:rsid w:val="00E638E6"/>
    <w:rsid w:val="00E66C1D"/>
    <w:rsid w:val="00E847B5"/>
    <w:rsid w:val="00E86EE9"/>
    <w:rsid w:val="00E92134"/>
    <w:rsid w:val="00E96A9F"/>
    <w:rsid w:val="00EA1252"/>
    <w:rsid w:val="00EA370A"/>
    <w:rsid w:val="00EA687C"/>
    <w:rsid w:val="00EA6FC3"/>
    <w:rsid w:val="00EB22A4"/>
    <w:rsid w:val="00EB434E"/>
    <w:rsid w:val="00EB655E"/>
    <w:rsid w:val="00EC3F6A"/>
    <w:rsid w:val="00EC6338"/>
    <w:rsid w:val="00ED30B9"/>
    <w:rsid w:val="00ED72E7"/>
    <w:rsid w:val="00EF1270"/>
    <w:rsid w:val="00EF622C"/>
    <w:rsid w:val="00F00091"/>
    <w:rsid w:val="00F01F11"/>
    <w:rsid w:val="00F1395B"/>
    <w:rsid w:val="00F2314A"/>
    <w:rsid w:val="00F240A0"/>
    <w:rsid w:val="00F2494F"/>
    <w:rsid w:val="00F33BAE"/>
    <w:rsid w:val="00F36C73"/>
    <w:rsid w:val="00F47459"/>
    <w:rsid w:val="00F47465"/>
    <w:rsid w:val="00F52603"/>
    <w:rsid w:val="00F52D19"/>
    <w:rsid w:val="00F56029"/>
    <w:rsid w:val="00F5614E"/>
    <w:rsid w:val="00F67C87"/>
    <w:rsid w:val="00F70554"/>
    <w:rsid w:val="00F72B74"/>
    <w:rsid w:val="00F760B6"/>
    <w:rsid w:val="00F83105"/>
    <w:rsid w:val="00F83D78"/>
    <w:rsid w:val="00F84095"/>
    <w:rsid w:val="00F86CF3"/>
    <w:rsid w:val="00F951E1"/>
    <w:rsid w:val="00FB4069"/>
    <w:rsid w:val="00FC0241"/>
    <w:rsid w:val="00FD4496"/>
    <w:rsid w:val="00FE3250"/>
    <w:rsid w:val="00FE37D5"/>
    <w:rsid w:val="00FF5763"/>
    <w:rsid w:val="00FF7D8C"/>
    <w:rsid w:val="0280333D"/>
    <w:rsid w:val="02D06700"/>
    <w:rsid w:val="05E078CD"/>
    <w:rsid w:val="072A1890"/>
    <w:rsid w:val="09ED6784"/>
    <w:rsid w:val="09FF00B4"/>
    <w:rsid w:val="0D7E7FC9"/>
    <w:rsid w:val="0FB87BBD"/>
    <w:rsid w:val="1A596813"/>
    <w:rsid w:val="1C5F78A5"/>
    <w:rsid w:val="1EAD142E"/>
    <w:rsid w:val="1F632F61"/>
    <w:rsid w:val="1FBD0FCA"/>
    <w:rsid w:val="27FE53EE"/>
    <w:rsid w:val="2C8F1CFF"/>
    <w:rsid w:val="30BA6D84"/>
    <w:rsid w:val="336315EB"/>
    <w:rsid w:val="33D56453"/>
    <w:rsid w:val="35B6216F"/>
    <w:rsid w:val="3794194D"/>
    <w:rsid w:val="37C927F7"/>
    <w:rsid w:val="386D4CA0"/>
    <w:rsid w:val="3BCD6A1C"/>
    <w:rsid w:val="4C3111D8"/>
    <w:rsid w:val="4D15510C"/>
    <w:rsid w:val="4D4C41F0"/>
    <w:rsid w:val="55B45E54"/>
    <w:rsid w:val="5AE87A04"/>
    <w:rsid w:val="5B1C04B7"/>
    <w:rsid w:val="5B5F4C48"/>
    <w:rsid w:val="5BBF384E"/>
    <w:rsid w:val="5D976A3B"/>
    <w:rsid w:val="600C5194"/>
    <w:rsid w:val="62DE3973"/>
    <w:rsid w:val="665C1DBE"/>
    <w:rsid w:val="675A4A50"/>
    <w:rsid w:val="6879198D"/>
    <w:rsid w:val="692005C9"/>
    <w:rsid w:val="6E100AD3"/>
    <w:rsid w:val="70776D05"/>
    <w:rsid w:val="71B23C3D"/>
    <w:rsid w:val="71F72C8D"/>
    <w:rsid w:val="737946A1"/>
    <w:rsid w:val="748E7B67"/>
    <w:rsid w:val="77FC437E"/>
    <w:rsid w:val="7B0B34A1"/>
    <w:rsid w:val="7C0F5843"/>
    <w:rsid w:val="7CDB0EA6"/>
    <w:rsid w:val="7FA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36B42"/>
  <w15:docId w15:val="{43FBE7A5-554B-4AEB-A8E2-FFAFC57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240" w:lineRule="exact"/>
    </w:pPr>
    <w:rPr>
      <w:rFonts w:ascii="宋体" w:hAnsi="宋体" w:cs="宋体"/>
      <w:color w:val="000000"/>
      <w:sz w:val="24"/>
      <w:szCs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rFonts w:eastAsia="仿宋_GB2312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eastAsia="仿宋_GB2312"/>
      <w:kern w:val="2"/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eastAsia="仿宋_GB2312"/>
      <w:kern w:val="2"/>
      <w:sz w:val="32"/>
      <w:szCs w:val="24"/>
    </w:rPr>
  </w:style>
  <w:style w:type="character" w:customStyle="1" w:styleId="ad">
    <w:name w:val="批注主题 字符"/>
    <w:basedOn w:val="a4"/>
    <w:link w:val="ac"/>
    <w:qFormat/>
    <w:rPr>
      <w:rFonts w:eastAsia="仿宋_GB2312"/>
      <w:b/>
      <w:bCs/>
      <w:kern w:val="2"/>
      <w:sz w:val="32"/>
      <w:szCs w:val="24"/>
    </w:rPr>
  </w:style>
  <w:style w:type="paragraph" w:customStyle="1" w:styleId="Char1">
    <w:name w:val="Char1"/>
    <w:basedOn w:val="a"/>
    <w:qFormat/>
    <w:rPr>
      <w:rFonts w:eastAsia="宋体"/>
      <w:sz w:val="24"/>
    </w:rPr>
  </w:style>
  <w:style w:type="character" w:customStyle="1" w:styleId="a6">
    <w:name w:val="日期 字符"/>
    <w:basedOn w:val="a0"/>
    <w:link w:val="a5"/>
    <w:semiHidden/>
    <w:qFormat/>
    <w:rPr>
      <w:rFonts w:eastAsia="仿宋_GB2312"/>
      <w:kern w:val="2"/>
      <w:sz w:val="32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E562-DF72-4790-B2F5-916B9B74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雾浓 周</cp:lastModifiedBy>
  <cp:revision>16</cp:revision>
  <cp:lastPrinted>2024-07-02T02:38:00Z</cp:lastPrinted>
  <dcterms:created xsi:type="dcterms:W3CDTF">2024-06-11T01:19:00Z</dcterms:created>
  <dcterms:modified xsi:type="dcterms:W3CDTF">2024-07-22T01:02:00Z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D03A88DEF68B45A3B447F137590ECFC1</vt:lpwstr>
  </property>
  <property fmtid="{D5CDD505-2E9C-101B-9397-08002B2CF9AE}" pid="4" name="commondata">
    <vt:lpwstr>eyJoZGlkIjoiOTMyMDc3NmE2MWI4MTIyNmI4YTkxNjJmN2RmYjNhZjkifQ==</vt:lpwstr>
  </property>
</Properties>
</file>